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924A8E" w:rsidP="00D21E15">
      <w:pPr>
        <w:jc w:val="center"/>
        <w:rPr>
          <w:sz w:val="28"/>
          <w:szCs w:val="28"/>
        </w:rPr>
      </w:pPr>
      <w:r>
        <w:rPr>
          <w:sz w:val="28"/>
          <w:szCs w:val="28"/>
        </w:rPr>
        <w:t xml:space="preserve"> </w:t>
      </w:r>
    </w:p>
    <w:p w:rsidR="00133420" w:rsidRPr="00433007" w:rsidRDefault="00133420" w:rsidP="00133420">
      <w:pPr>
        <w:jc w:val="center"/>
        <w:rPr>
          <w:b/>
          <w:sz w:val="28"/>
          <w:szCs w:val="28"/>
        </w:rPr>
      </w:pPr>
      <w:r w:rsidRPr="00433007">
        <w:rPr>
          <w:b/>
          <w:sz w:val="28"/>
          <w:szCs w:val="28"/>
        </w:rPr>
        <w:t xml:space="preserve">ПРОЕКТ </w:t>
      </w: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286582" w:rsidP="00D21E15">
      <w:pPr>
        <w:rPr>
          <w:color w:val="000000"/>
          <w:sz w:val="28"/>
          <w:szCs w:val="28"/>
        </w:rPr>
      </w:pPr>
      <w:r>
        <w:rPr>
          <w:color w:val="000000"/>
          <w:sz w:val="28"/>
          <w:szCs w:val="28"/>
        </w:rPr>
        <w:t>_</w:t>
      </w:r>
      <w:proofErr w:type="gramStart"/>
      <w:r>
        <w:rPr>
          <w:color w:val="000000"/>
          <w:sz w:val="28"/>
          <w:szCs w:val="28"/>
        </w:rPr>
        <w:t>_</w:t>
      </w:r>
      <w:r w:rsidR="00DE6C92">
        <w:rPr>
          <w:color w:val="000000"/>
          <w:sz w:val="28"/>
          <w:szCs w:val="28"/>
        </w:rPr>
        <w:t>.</w:t>
      </w:r>
      <w:r>
        <w:rPr>
          <w:color w:val="000000"/>
          <w:sz w:val="28"/>
          <w:szCs w:val="28"/>
        </w:rPr>
        <w:t>_</w:t>
      </w:r>
      <w:proofErr w:type="gramEnd"/>
      <w:r>
        <w:rPr>
          <w:color w:val="000000"/>
          <w:sz w:val="28"/>
          <w:szCs w:val="28"/>
        </w:rPr>
        <w:t>__</w:t>
      </w:r>
      <w:r w:rsidR="00DE6C92">
        <w:rPr>
          <w:color w:val="000000"/>
          <w:sz w:val="28"/>
          <w:szCs w:val="28"/>
        </w:rPr>
        <w:t>.201</w:t>
      </w:r>
      <w:r>
        <w:rPr>
          <w:color w:val="000000"/>
          <w:sz w:val="28"/>
          <w:szCs w:val="28"/>
        </w:rPr>
        <w:t>8</w:t>
      </w:r>
      <w:r w:rsidR="00D21E15" w:rsidRPr="00FA5F51">
        <w:rPr>
          <w:color w:val="000000"/>
          <w:sz w:val="28"/>
          <w:szCs w:val="28"/>
        </w:rPr>
        <w:t xml:space="preserve">                                    </w:t>
      </w:r>
      <w:r w:rsidR="005A7895">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_____</w:t>
      </w:r>
      <w:r w:rsidR="00133420">
        <w:rPr>
          <w:color w:val="000000"/>
          <w:sz w:val="28"/>
          <w:szCs w:val="28"/>
        </w:rPr>
        <w:t xml:space="preserve">                                 х. Мещеряковский</w:t>
      </w: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D21E15" w:rsidP="001536BA">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7744E6">
        <w:rPr>
          <w:sz w:val="28"/>
          <w:szCs w:val="28"/>
        </w:rPr>
        <w:t>Мещеряковского</w:t>
      </w:r>
      <w:r w:rsidR="001F1450">
        <w:rPr>
          <w:sz w:val="28"/>
          <w:szCs w:val="28"/>
        </w:rPr>
        <w:t xml:space="preserve"> сельского поселения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r w:rsidR="005F461C">
        <w:rPr>
          <w:sz w:val="28"/>
          <w:szCs w:val="28"/>
        </w:rPr>
        <w:t xml:space="preserve"> №1</w:t>
      </w:r>
      <w:r w:rsidRPr="00EB5C38">
        <w:rPr>
          <w:sz w:val="28"/>
          <w:szCs w:val="28"/>
        </w:rPr>
        <w:t>.</w:t>
      </w:r>
    </w:p>
    <w:p w:rsidR="00D21E15" w:rsidRPr="003522B8" w:rsidRDefault="00D21E15" w:rsidP="001536BA">
      <w:pPr>
        <w:widowControl/>
        <w:numPr>
          <w:ilvl w:val="0"/>
          <w:numId w:val="7"/>
        </w:numPr>
        <w:suppressAutoHyphens/>
        <w:autoSpaceDE w:val="0"/>
        <w:autoSpaceDN w:val="0"/>
        <w:adjustRightInd w:val="0"/>
        <w:ind w:left="0" w:firstLine="709"/>
        <w:jc w:val="both"/>
        <w:rPr>
          <w:sz w:val="28"/>
          <w:szCs w:val="28"/>
          <w:lang w:eastAsia="en-US"/>
        </w:rPr>
      </w:pPr>
      <w:r w:rsidRPr="003522B8">
        <w:rPr>
          <w:sz w:val="28"/>
          <w:szCs w:val="28"/>
          <w:lang w:eastAsia="en-US"/>
        </w:rPr>
        <w:t>Признать утратившими силу с 1</w:t>
      </w:r>
      <w:r w:rsidR="0016020B">
        <w:rPr>
          <w:sz w:val="28"/>
          <w:szCs w:val="28"/>
          <w:lang w:eastAsia="en-US"/>
        </w:rPr>
        <w:t xml:space="preserve"> </w:t>
      </w:r>
      <w:r w:rsidR="00DA5AFF">
        <w:rPr>
          <w:sz w:val="28"/>
          <w:szCs w:val="28"/>
          <w:lang w:eastAsia="en-US"/>
        </w:rPr>
        <w:t>января 2019</w:t>
      </w:r>
      <w:r w:rsidRPr="003522B8">
        <w:rPr>
          <w:sz w:val="28"/>
          <w:szCs w:val="28"/>
          <w:lang w:eastAsia="en-US"/>
        </w:rPr>
        <w:t xml:space="preserve"> года </w:t>
      </w:r>
      <w:r w:rsidR="00EB5BEB">
        <w:rPr>
          <w:sz w:val="28"/>
          <w:szCs w:val="28"/>
          <w:lang w:eastAsia="en-US"/>
        </w:rPr>
        <w:t xml:space="preserve">правовые акты Администрации </w:t>
      </w:r>
      <w:r w:rsidR="007744E6">
        <w:rPr>
          <w:sz w:val="28"/>
          <w:szCs w:val="28"/>
          <w:lang w:eastAsia="en-US"/>
        </w:rPr>
        <w:t>Мещеряковского</w:t>
      </w:r>
      <w:r w:rsidR="00D978C3">
        <w:rPr>
          <w:sz w:val="28"/>
          <w:szCs w:val="28"/>
          <w:lang w:eastAsia="en-US"/>
        </w:rPr>
        <w:t xml:space="preserve"> сельского поселения</w:t>
      </w:r>
      <w:r w:rsidR="00EB5BEB">
        <w:rPr>
          <w:sz w:val="28"/>
          <w:szCs w:val="28"/>
          <w:lang w:eastAsia="en-US"/>
        </w:rPr>
        <w:t xml:space="preserve"> по Перечню</w:t>
      </w:r>
      <w:r w:rsidR="001019DC">
        <w:rPr>
          <w:sz w:val="28"/>
          <w:szCs w:val="28"/>
          <w:lang w:eastAsia="en-US"/>
        </w:rPr>
        <w:t xml:space="preserve"> согласно приложени</w:t>
      </w:r>
      <w:r w:rsidR="00682B71">
        <w:rPr>
          <w:sz w:val="28"/>
          <w:szCs w:val="28"/>
          <w:lang w:eastAsia="en-US"/>
        </w:rPr>
        <w:t>ю</w:t>
      </w:r>
      <w:r w:rsidR="002B4BD5">
        <w:rPr>
          <w:sz w:val="28"/>
          <w:szCs w:val="28"/>
          <w:lang w:eastAsia="en-US"/>
        </w:rPr>
        <w:t xml:space="preserve"> №</w:t>
      </w:r>
      <w:r w:rsidR="005F461C">
        <w:rPr>
          <w:sz w:val="28"/>
          <w:szCs w:val="28"/>
          <w:lang w:eastAsia="en-US"/>
        </w:rPr>
        <w:t>2</w:t>
      </w:r>
      <w:r w:rsidR="001019DC">
        <w:rPr>
          <w:sz w:val="28"/>
          <w:szCs w:val="28"/>
          <w:lang w:eastAsia="en-US"/>
        </w:rPr>
        <w:t>.</w:t>
      </w:r>
    </w:p>
    <w:p w:rsidR="00D21E15" w:rsidRPr="00EB5C38" w:rsidRDefault="001536BA" w:rsidP="00D21E15">
      <w:pPr>
        <w:ind w:firstLine="709"/>
        <w:jc w:val="both"/>
        <w:rPr>
          <w:sz w:val="28"/>
          <w:szCs w:val="28"/>
        </w:rPr>
      </w:pPr>
      <w:r>
        <w:rPr>
          <w:sz w:val="28"/>
          <w:szCs w:val="28"/>
        </w:rPr>
        <w:t>3</w:t>
      </w:r>
      <w:r w:rsidR="00D21E15">
        <w:rPr>
          <w:sz w:val="28"/>
          <w:szCs w:val="28"/>
        </w:rPr>
        <w:t>.  Настоящее постановление вступает в силу со дня официального опубликования</w:t>
      </w:r>
      <w:r w:rsidR="00C51E74">
        <w:rPr>
          <w:sz w:val="28"/>
          <w:szCs w:val="28"/>
        </w:rPr>
        <w:t>, но не ранее 1</w:t>
      </w:r>
      <w:r w:rsidR="0016020B">
        <w:rPr>
          <w:sz w:val="28"/>
          <w:szCs w:val="28"/>
        </w:rPr>
        <w:t xml:space="preserve"> </w:t>
      </w:r>
      <w:r w:rsidR="00EB5BEB">
        <w:rPr>
          <w:sz w:val="28"/>
          <w:szCs w:val="28"/>
        </w:rPr>
        <w:t xml:space="preserve">января </w:t>
      </w:r>
      <w:r w:rsidR="00C51E74">
        <w:rPr>
          <w:sz w:val="28"/>
          <w:szCs w:val="28"/>
        </w:rPr>
        <w:t>201</w:t>
      </w:r>
      <w:r w:rsidR="0016020B">
        <w:rPr>
          <w:sz w:val="28"/>
          <w:szCs w:val="28"/>
        </w:rPr>
        <w:t>9</w:t>
      </w:r>
      <w:r w:rsidR="00C51E74">
        <w:rPr>
          <w:sz w:val="28"/>
          <w:szCs w:val="28"/>
        </w:rPr>
        <w:t xml:space="preserve"> года</w:t>
      </w:r>
      <w:r w:rsidR="00D21E15">
        <w:rPr>
          <w:sz w:val="28"/>
          <w:szCs w:val="28"/>
        </w:rPr>
        <w:t>.</w:t>
      </w:r>
    </w:p>
    <w:p w:rsidR="00D21E15" w:rsidRPr="00EB5C38" w:rsidRDefault="001536BA" w:rsidP="00D21E15">
      <w:pPr>
        <w:ind w:firstLine="709"/>
        <w:jc w:val="both"/>
        <w:rPr>
          <w:sz w:val="28"/>
          <w:szCs w:val="28"/>
        </w:rPr>
      </w:pPr>
      <w:r>
        <w:rPr>
          <w:sz w:val="28"/>
          <w:szCs w:val="28"/>
        </w:rPr>
        <w:t>4</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DE6C92" w:rsidRDefault="00DE6C92" w:rsidP="00B9231B">
      <w:pPr>
        <w:widowControl/>
        <w:suppressAutoHyphens/>
        <w:autoSpaceDE w:val="0"/>
        <w:autoSpaceDN w:val="0"/>
        <w:adjustRightInd w:val="0"/>
        <w:jc w:val="both"/>
        <w:rPr>
          <w:sz w:val="28"/>
          <w:szCs w:val="28"/>
          <w:lang w:eastAsia="en-US"/>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8166A1">
        <w:rPr>
          <w:sz w:val="28"/>
          <w:szCs w:val="28"/>
        </w:rPr>
        <w:t>_</w:t>
      </w:r>
      <w:proofErr w:type="gramStart"/>
      <w:r w:rsidR="008166A1">
        <w:rPr>
          <w:sz w:val="28"/>
          <w:szCs w:val="28"/>
        </w:rPr>
        <w:t>_</w:t>
      </w:r>
      <w:r w:rsidR="00165161">
        <w:rPr>
          <w:sz w:val="28"/>
          <w:szCs w:val="28"/>
        </w:rPr>
        <w:t>.</w:t>
      </w:r>
      <w:r w:rsidR="008166A1">
        <w:rPr>
          <w:sz w:val="28"/>
          <w:szCs w:val="28"/>
        </w:rPr>
        <w:t>_</w:t>
      </w:r>
      <w:proofErr w:type="gramEnd"/>
      <w:r w:rsidR="008166A1">
        <w:rPr>
          <w:sz w:val="28"/>
          <w:szCs w:val="28"/>
        </w:rPr>
        <w:t>__</w:t>
      </w:r>
      <w:r w:rsidR="00165161">
        <w:rPr>
          <w:sz w:val="28"/>
          <w:szCs w:val="28"/>
        </w:rPr>
        <w:t>.201</w:t>
      </w:r>
      <w:r w:rsidR="008166A1">
        <w:rPr>
          <w:sz w:val="28"/>
          <w:szCs w:val="28"/>
        </w:rPr>
        <w:t>8</w:t>
      </w:r>
      <w:r w:rsidRPr="003522B8">
        <w:rPr>
          <w:sz w:val="28"/>
          <w:szCs w:val="28"/>
        </w:rPr>
        <w:t xml:space="preserve"> №</w:t>
      </w:r>
      <w:r w:rsidR="00165161">
        <w:rPr>
          <w:sz w:val="28"/>
          <w:szCs w:val="28"/>
        </w:rPr>
        <w:t xml:space="preserve"> </w:t>
      </w:r>
      <w:r w:rsidR="008166A1">
        <w:rPr>
          <w:sz w:val="28"/>
          <w:szCs w:val="28"/>
        </w:rPr>
        <w:t>______</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917EF">
                    <w:rPr>
                      <w:sz w:val="28"/>
                      <w:szCs w:val="28"/>
                      <w:lang w:eastAsia="en-US"/>
                    </w:rPr>
                    <w:t>14</w:t>
                  </w:r>
                  <w:r w:rsidR="00644878">
                    <w:rPr>
                      <w:sz w:val="28"/>
                      <w:szCs w:val="28"/>
                      <w:lang w:eastAsia="en-US"/>
                    </w:rPr>
                    <w:t>40,</w:t>
                  </w:r>
                  <w:proofErr w:type="gramStart"/>
                  <w:r w:rsidR="00644878">
                    <w:rPr>
                      <w:sz w:val="28"/>
                      <w:szCs w:val="28"/>
                      <w:lang w:eastAsia="en-US"/>
                    </w:rPr>
                    <w:t>0</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20,</w:t>
                        </w:r>
                        <w:proofErr w:type="gramStart"/>
                        <w:r w:rsidR="007744E6">
                          <w:rPr>
                            <w:sz w:val="28"/>
                            <w:szCs w:val="28"/>
                          </w:rPr>
                          <w:t>0</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1917EF">
                    <w:rPr>
                      <w:sz w:val="28"/>
                      <w:szCs w:val="28"/>
                    </w:rPr>
                    <w:t>14</w:t>
                  </w:r>
                  <w:r w:rsidR="00644878">
                    <w:rPr>
                      <w:sz w:val="28"/>
                      <w:szCs w:val="28"/>
                    </w:rPr>
                    <w:t>40</w:t>
                  </w:r>
                  <w:r w:rsidR="001917EF">
                    <w:rPr>
                      <w:sz w:val="28"/>
                      <w:szCs w:val="28"/>
                    </w:rPr>
                    <w:t>,</w:t>
                  </w:r>
                  <w:r w:rsidR="00644878">
                    <w:rPr>
                      <w:sz w:val="28"/>
                      <w:szCs w:val="28"/>
                    </w:rPr>
                    <w:t>0</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7F4394">
                    <w:rPr>
                      <w:sz w:val="28"/>
                      <w:szCs w:val="28"/>
                      <w:lang w:eastAsia="en-US"/>
                    </w:rPr>
                    <w:t>14</w:t>
                  </w:r>
                  <w:r w:rsidR="00644878">
                    <w:rPr>
                      <w:sz w:val="28"/>
                      <w:szCs w:val="28"/>
                      <w:lang w:eastAsia="en-US"/>
                    </w:rPr>
                    <w:t>40,</w:t>
                  </w:r>
                  <w:proofErr w:type="gramStart"/>
                  <w:r w:rsidR="00644878">
                    <w:rPr>
                      <w:sz w:val="28"/>
                      <w:szCs w:val="28"/>
                      <w:lang w:eastAsia="en-US"/>
                    </w:rPr>
                    <w:t>0</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7F4394">
                    <w:rPr>
                      <w:sz w:val="28"/>
                      <w:szCs w:val="28"/>
                    </w:rPr>
                    <w:t>14</w:t>
                  </w:r>
                  <w:r w:rsidR="00644878">
                    <w:rPr>
                      <w:sz w:val="28"/>
                      <w:szCs w:val="28"/>
                    </w:rPr>
                    <w:t>40,0</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bookmarkStart w:id="1" w:name="_GoBack"/>
            <w:bookmarkEnd w:id="1"/>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A3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D4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E64FAF" w:rsidRPr="00A86698" w:rsidRDefault="00E64FAF" w:rsidP="00E64FAF">
            <w:pPr>
              <w:autoSpaceDE w:val="0"/>
              <w:autoSpaceDN w:val="0"/>
              <w:adjustRightInd w:val="0"/>
              <w:jc w:val="right"/>
              <w:outlineLvl w:val="2"/>
              <w:rPr>
                <w:sz w:val="22"/>
                <w:szCs w:val="22"/>
              </w:rPr>
            </w:pPr>
          </w:p>
        </w:tc>
        <w:tc>
          <w:tcPr>
            <w:tcW w:w="845" w:type="dxa"/>
          </w:tcPr>
          <w:p w:rsidR="00E64FAF" w:rsidRPr="00A86698" w:rsidRDefault="00E64FAF" w:rsidP="00E64FAF">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36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lastRenderedPageBreak/>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03"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AA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E64FAF" w:rsidRPr="00A86698" w:rsidRDefault="00E64FAF" w:rsidP="00E64FAF">
            <w:pPr>
              <w:autoSpaceDE w:val="0"/>
              <w:autoSpaceDN w:val="0"/>
              <w:adjustRightInd w:val="0"/>
              <w:jc w:val="right"/>
              <w:outlineLvl w:val="2"/>
              <w:rPr>
                <w:sz w:val="22"/>
                <w:szCs w:val="22"/>
              </w:rPr>
            </w:pPr>
          </w:p>
        </w:tc>
        <w:tc>
          <w:tcPr>
            <w:tcW w:w="845" w:type="dxa"/>
          </w:tcPr>
          <w:p w:rsidR="00E64FAF" w:rsidRDefault="00E64FAF" w:rsidP="00E64FAF">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41"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787"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E64FAF" w:rsidRPr="00A86698" w:rsidRDefault="00E64FAF" w:rsidP="002E60CB">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sidR="002E60CB">
              <w:rPr>
                <w:sz w:val="22"/>
                <w:szCs w:val="22"/>
              </w:rPr>
              <w:t>Мещеряковскогос</w:t>
            </w:r>
            <w:r>
              <w:rPr>
                <w:sz w:val="22"/>
                <w:szCs w:val="22"/>
              </w:rPr>
              <w:t>ельском</w:t>
            </w:r>
            <w:proofErr w:type="spellEnd"/>
            <w:r>
              <w:rPr>
                <w:sz w:val="22"/>
                <w:szCs w:val="22"/>
              </w:rPr>
              <w:t xml:space="preserve"> поселении</w:t>
            </w:r>
          </w:p>
        </w:tc>
        <w:tc>
          <w:tcPr>
            <w:tcW w:w="845" w:type="dxa"/>
            <w:tcBorders>
              <w:right w:val="single" w:sz="4" w:space="0" w:color="auto"/>
            </w:tcBorders>
          </w:tcPr>
          <w:p w:rsidR="00E64FAF" w:rsidRDefault="00E64FAF" w:rsidP="00E64FAF">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E64FAF" w:rsidRPr="00453FA6" w:rsidRDefault="00E64FAF" w:rsidP="00E64FAF">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16" w:type="dxa"/>
            <w:gridSpan w:val="2"/>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783"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E64FAF">
        <w:trPr>
          <w:trHeight w:val="497"/>
        </w:trPr>
        <w:tc>
          <w:tcPr>
            <w:tcW w:w="1560"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w:t>
            </w:r>
            <w:r w:rsidR="002E60CB">
              <w:rPr>
                <w:kern w:val="2"/>
                <w:lang w:eastAsia="en-US"/>
              </w:rPr>
              <w:t xml:space="preserve">о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1096" w:type="dxa"/>
          </w:tcPr>
          <w:p w:rsidR="00E64FAF" w:rsidRPr="009921D7" w:rsidRDefault="00E64FAF" w:rsidP="00E64FAF">
            <w:pPr>
              <w:jc w:val="center"/>
              <w:rPr>
                <w:color w:val="000000"/>
                <w:spacing w:val="-20"/>
              </w:rPr>
            </w:pPr>
            <w:r>
              <w:rPr>
                <w:color w:val="000000"/>
                <w:spacing w:val="-20"/>
              </w:rPr>
              <w:t>120,0</w:t>
            </w:r>
          </w:p>
        </w:tc>
        <w:tc>
          <w:tcPr>
            <w:tcW w:w="1001"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r w:rsidR="00E64FAF" w:rsidRPr="009427D1" w:rsidTr="00E64FAF">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1096" w:type="dxa"/>
          </w:tcPr>
          <w:p w:rsidR="00E64FAF" w:rsidRPr="009921D7" w:rsidRDefault="00E64FAF" w:rsidP="00E64FAF">
            <w:pPr>
              <w:jc w:val="center"/>
              <w:rPr>
                <w:color w:val="000000"/>
                <w:spacing w:val="-20"/>
              </w:rPr>
            </w:pPr>
            <w:r>
              <w:rPr>
                <w:color w:val="000000"/>
                <w:spacing w:val="-20"/>
              </w:rPr>
              <w:t>120,0</w:t>
            </w:r>
          </w:p>
        </w:tc>
        <w:tc>
          <w:tcPr>
            <w:tcW w:w="1001"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r w:rsidR="00E64FAF" w:rsidRPr="009427D1" w:rsidTr="00E64FAF">
        <w:trPr>
          <w:trHeight w:val="547"/>
        </w:trPr>
        <w:tc>
          <w:tcPr>
            <w:tcW w:w="1560" w:type="dxa"/>
            <w:vMerge w:val="restart"/>
            <w:hideMark/>
          </w:tcPr>
          <w:p w:rsidR="00E64FAF" w:rsidRPr="009427D1" w:rsidRDefault="00E64FAF" w:rsidP="00E64FAF">
            <w:pPr>
              <w:shd w:val="clear" w:color="auto" w:fill="FFFFFF" w:themeFill="background1"/>
              <w:rPr>
                <w:kern w:val="2"/>
                <w:lang w:eastAsia="en-US"/>
              </w:rPr>
            </w:pPr>
            <w:r w:rsidRPr="009427D1">
              <w:rPr>
                <w:kern w:val="2"/>
                <w:lang w:eastAsia="en-US"/>
              </w:rPr>
              <w:t>Подпрограмма 1</w:t>
            </w:r>
          </w:p>
          <w:p w:rsidR="00E64FAF" w:rsidRPr="009427D1" w:rsidRDefault="00E64FAF" w:rsidP="00E64FAF">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1096" w:type="dxa"/>
            <w:hideMark/>
          </w:tcPr>
          <w:p w:rsidR="00E64FAF" w:rsidRPr="009921D7" w:rsidRDefault="00E64FAF" w:rsidP="00E64FAF">
            <w:pPr>
              <w:jc w:val="center"/>
              <w:rPr>
                <w:color w:val="000000"/>
                <w:spacing w:val="-20"/>
              </w:rPr>
            </w:pPr>
            <w:r>
              <w:rPr>
                <w:color w:val="000000"/>
                <w:spacing w:val="-20"/>
              </w:rPr>
              <w:t>120,0</w:t>
            </w:r>
          </w:p>
        </w:tc>
        <w:tc>
          <w:tcPr>
            <w:tcW w:w="1001"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r w:rsidR="00E64FAF" w:rsidRPr="009427D1" w:rsidTr="00E64FAF">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w:t>
            </w:r>
            <w:r w:rsidR="002E60CB">
              <w:rPr>
                <w:kern w:val="2"/>
                <w:lang w:eastAsia="en-US"/>
              </w:rPr>
              <w:t>я</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1096" w:type="dxa"/>
            <w:hideMark/>
          </w:tcPr>
          <w:p w:rsidR="00E64FAF" w:rsidRPr="009921D7" w:rsidRDefault="00E64FAF" w:rsidP="00E64FAF">
            <w:pPr>
              <w:jc w:val="center"/>
              <w:rPr>
                <w:color w:val="000000"/>
                <w:spacing w:val="-20"/>
              </w:rPr>
            </w:pPr>
            <w:r>
              <w:rPr>
                <w:color w:val="000000"/>
                <w:spacing w:val="-20"/>
              </w:rPr>
              <w:t>120,0</w:t>
            </w:r>
          </w:p>
        </w:tc>
        <w:tc>
          <w:tcPr>
            <w:tcW w:w="1001"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D2758C" w:rsidP="00D2758C">
      <w:pPr>
        <w:ind w:right="4"/>
        <w:jc w:val="right"/>
        <w:rPr>
          <w:sz w:val="28"/>
          <w:szCs w:val="28"/>
        </w:rPr>
      </w:pPr>
      <w:r>
        <w:rPr>
          <w:sz w:val="28"/>
          <w:szCs w:val="28"/>
        </w:rPr>
        <w:t xml:space="preserve">от </w:t>
      </w:r>
      <w:r w:rsidR="00EE1B3E">
        <w:rPr>
          <w:sz w:val="28"/>
          <w:szCs w:val="28"/>
        </w:rPr>
        <w:t>_</w:t>
      </w:r>
      <w:proofErr w:type="gramStart"/>
      <w:r w:rsidR="00EE1B3E">
        <w:rPr>
          <w:sz w:val="28"/>
          <w:szCs w:val="28"/>
        </w:rPr>
        <w:t>_._</w:t>
      </w:r>
      <w:proofErr w:type="gramEnd"/>
      <w:r w:rsidR="00EE1B3E">
        <w:rPr>
          <w:sz w:val="28"/>
          <w:szCs w:val="28"/>
        </w:rPr>
        <w:t>__</w:t>
      </w:r>
      <w:r>
        <w:rPr>
          <w:sz w:val="28"/>
          <w:szCs w:val="28"/>
        </w:rPr>
        <w:t>.201</w:t>
      </w:r>
      <w:r w:rsidR="00EE1B3E">
        <w:rPr>
          <w:sz w:val="28"/>
          <w:szCs w:val="28"/>
        </w:rPr>
        <w:t>8</w:t>
      </w:r>
      <w:r>
        <w:rPr>
          <w:sz w:val="28"/>
          <w:szCs w:val="28"/>
        </w:rPr>
        <w:t>г. №</w:t>
      </w:r>
      <w:r w:rsidR="00EE1B3E">
        <w:rPr>
          <w:sz w:val="28"/>
          <w:szCs w:val="28"/>
        </w:rPr>
        <w:t>____</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EE1B3E">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Pr="00EE1B3E">
        <w:rPr>
          <w:sz w:val="28"/>
          <w:szCs w:val="28"/>
        </w:rPr>
        <w:t xml:space="preserve"> </w:t>
      </w:r>
      <w:r w:rsidR="00DE31F4">
        <w:rPr>
          <w:sz w:val="28"/>
          <w:szCs w:val="28"/>
        </w:rPr>
        <w:t xml:space="preserve">от </w:t>
      </w:r>
      <w:r w:rsidR="00E64FAF">
        <w:rPr>
          <w:sz w:val="28"/>
          <w:szCs w:val="28"/>
        </w:rPr>
        <w:t>06.12</w:t>
      </w:r>
      <w:r w:rsidR="00DE31F4">
        <w:rPr>
          <w:sz w:val="28"/>
          <w:szCs w:val="28"/>
        </w:rPr>
        <w:t>.201</w:t>
      </w:r>
      <w:r w:rsidR="00E64FAF">
        <w:rPr>
          <w:sz w:val="28"/>
          <w:szCs w:val="28"/>
        </w:rPr>
        <w:t>6 № 223</w:t>
      </w:r>
      <w:r w:rsidR="00EE1B3E" w:rsidRPr="00EE1B3E">
        <w:rPr>
          <w:sz w:val="28"/>
          <w:szCs w:val="28"/>
        </w:rPr>
        <w:t xml:space="preserve"> «Об утверждении муниципальной программы </w:t>
      </w:r>
      <w:r w:rsidR="00E64FAF">
        <w:rPr>
          <w:sz w:val="28"/>
          <w:szCs w:val="28"/>
        </w:rPr>
        <w:t>Мещеряковского</w:t>
      </w:r>
      <w:r w:rsidR="00D978C3">
        <w:rPr>
          <w:sz w:val="28"/>
          <w:szCs w:val="28"/>
        </w:rPr>
        <w:t xml:space="preserve"> сельского поселения</w:t>
      </w:r>
      <w:r w:rsidR="00BC5FF3" w:rsidRPr="00EE1B3E">
        <w:rPr>
          <w:sz w:val="28"/>
          <w:szCs w:val="28"/>
        </w:rPr>
        <w:t xml:space="preserve"> </w:t>
      </w:r>
      <w:r w:rsidR="00BC5FF3">
        <w:rPr>
          <w:sz w:val="28"/>
          <w:szCs w:val="28"/>
        </w:rPr>
        <w:t>«Социальная поддержка граждан.</w:t>
      </w:r>
    </w:p>
    <w:p w:rsidR="00D2758C" w:rsidRPr="00EE1B3E" w:rsidRDefault="00EE1B3E" w:rsidP="00EE1B3E">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 </w:t>
      </w:r>
      <w:r w:rsidR="00D2758C"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00D2758C" w:rsidRPr="00EE1B3E">
        <w:rPr>
          <w:sz w:val="28"/>
          <w:szCs w:val="28"/>
        </w:rPr>
        <w:t xml:space="preserve"> от</w:t>
      </w:r>
      <w:r w:rsidR="00D2758C" w:rsidRPr="00EE1B3E">
        <w:rPr>
          <w:sz w:val="28"/>
          <w:szCs w:val="28"/>
          <w:lang w:eastAsia="en-US"/>
        </w:rPr>
        <w:t xml:space="preserve"> </w:t>
      </w:r>
      <w:r w:rsidR="00E64FAF">
        <w:rPr>
          <w:sz w:val="28"/>
          <w:szCs w:val="28"/>
          <w:lang w:eastAsia="en-US"/>
        </w:rPr>
        <w:t>24.03</w:t>
      </w:r>
      <w:r w:rsidR="00D2758C" w:rsidRPr="00EE1B3E">
        <w:rPr>
          <w:sz w:val="28"/>
          <w:szCs w:val="28"/>
          <w:lang w:eastAsia="en-US"/>
        </w:rPr>
        <w:t>.201</w:t>
      </w:r>
      <w:r w:rsidR="00E64FAF">
        <w:rPr>
          <w:sz w:val="28"/>
          <w:szCs w:val="28"/>
          <w:lang w:eastAsia="en-US"/>
        </w:rPr>
        <w:t>7</w:t>
      </w:r>
      <w:r w:rsidR="00D2758C" w:rsidRPr="00EE1B3E">
        <w:rPr>
          <w:sz w:val="28"/>
          <w:szCs w:val="28"/>
          <w:lang w:eastAsia="en-US"/>
        </w:rPr>
        <w:t xml:space="preserve"> № </w:t>
      </w:r>
      <w:r w:rsidR="00E64FAF">
        <w:rPr>
          <w:sz w:val="28"/>
          <w:szCs w:val="28"/>
          <w:lang w:eastAsia="en-US"/>
        </w:rPr>
        <w:t>45</w:t>
      </w:r>
      <w:r w:rsidR="00D2758C" w:rsidRPr="00EE1B3E">
        <w:rPr>
          <w:sz w:val="28"/>
          <w:szCs w:val="28"/>
          <w:lang w:eastAsia="en-US"/>
        </w:rPr>
        <w:t xml:space="preserve"> «О внесение изменений в постановление Администрации </w:t>
      </w:r>
      <w:r w:rsidR="00E64FAF">
        <w:rPr>
          <w:sz w:val="28"/>
          <w:szCs w:val="28"/>
          <w:lang w:eastAsia="en-US"/>
        </w:rPr>
        <w:t>Мещеряковского</w:t>
      </w:r>
      <w:r w:rsidR="00D978C3">
        <w:rPr>
          <w:sz w:val="28"/>
          <w:szCs w:val="28"/>
          <w:lang w:eastAsia="en-US"/>
        </w:rPr>
        <w:t xml:space="preserve"> сельского поселения</w:t>
      </w:r>
      <w:r w:rsidR="00D2758C" w:rsidRPr="00EE1B3E">
        <w:rPr>
          <w:sz w:val="28"/>
          <w:szCs w:val="28"/>
          <w:lang w:eastAsia="en-US"/>
        </w:rPr>
        <w:t xml:space="preserve"> от </w:t>
      </w:r>
      <w:r w:rsidR="00433007">
        <w:rPr>
          <w:sz w:val="28"/>
          <w:szCs w:val="28"/>
          <w:lang w:eastAsia="en-US"/>
        </w:rPr>
        <w:t>06.12</w:t>
      </w:r>
      <w:r w:rsidR="009C4401">
        <w:rPr>
          <w:sz w:val="28"/>
          <w:szCs w:val="28"/>
          <w:lang w:eastAsia="en-US"/>
        </w:rPr>
        <w:t>.201</w:t>
      </w:r>
      <w:r w:rsidR="00433007">
        <w:rPr>
          <w:sz w:val="28"/>
          <w:szCs w:val="28"/>
          <w:lang w:eastAsia="en-US"/>
        </w:rPr>
        <w:t>6</w:t>
      </w:r>
      <w:r w:rsidR="009C4401">
        <w:rPr>
          <w:sz w:val="28"/>
          <w:szCs w:val="28"/>
          <w:lang w:eastAsia="en-US"/>
        </w:rPr>
        <w:t xml:space="preserve"> № </w:t>
      </w:r>
      <w:r w:rsidR="00433007">
        <w:rPr>
          <w:sz w:val="28"/>
          <w:szCs w:val="28"/>
          <w:lang w:eastAsia="en-US"/>
        </w:rPr>
        <w:t>223</w:t>
      </w:r>
      <w:r w:rsidR="00D2758C" w:rsidRPr="00EE1B3E">
        <w:rPr>
          <w:sz w:val="28"/>
          <w:szCs w:val="28"/>
          <w:lang w:eastAsia="en-US"/>
        </w:rPr>
        <w:t>».</w:t>
      </w:r>
    </w:p>
    <w:p w:rsidR="006A487C" w:rsidRPr="00EE1B3E" w:rsidRDefault="006A487C" w:rsidP="006A487C">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433007">
        <w:rPr>
          <w:sz w:val="28"/>
          <w:szCs w:val="28"/>
        </w:rPr>
        <w:t>Мещеряковского</w:t>
      </w:r>
      <w:r>
        <w:rPr>
          <w:sz w:val="28"/>
          <w:szCs w:val="28"/>
        </w:rPr>
        <w:t xml:space="preserve"> сельского поселения</w:t>
      </w:r>
      <w:r w:rsidRPr="00EE1B3E">
        <w:rPr>
          <w:sz w:val="28"/>
          <w:szCs w:val="28"/>
        </w:rPr>
        <w:t xml:space="preserve"> от</w:t>
      </w:r>
      <w:r w:rsidRPr="00EE1B3E">
        <w:rPr>
          <w:sz w:val="28"/>
          <w:szCs w:val="28"/>
          <w:lang w:eastAsia="en-US"/>
        </w:rPr>
        <w:t xml:space="preserve"> </w:t>
      </w:r>
      <w:r w:rsidR="00433007">
        <w:rPr>
          <w:sz w:val="28"/>
          <w:szCs w:val="28"/>
          <w:lang w:eastAsia="en-US"/>
        </w:rPr>
        <w:t>25</w:t>
      </w:r>
      <w:r>
        <w:rPr>
          <w:sz w:val="28"/>
          <w:szCs w:val="28"/>
          <w:lang w:eastAsia="en-US"/>
        </w:rPr>
        <w:t>.12</w:t>
      </w:r>
      <w:r w:rsidRPr="00EE1B3E">
        <w:rPr>
          <w:sz w:val="28"/>
          <w:szCs w:val="28"/>
          <w:lang w:eastAsia="en-US"/>
        </w:rPr>
        <w:t>.201</w:t>
      </w:r>
      <w:r w:rsidR="00433007">
        <w:rPr>
          <w:sz w:val="28"/>
          <w:szCs w:val="28"/>
          <w:lang w:eastAsia="en-US"/>
        </w:rPr>
        <w:t>7</w:t>
      </w:r>
      <w:r w:rsidRPr="00EE1B3E">
        <w:rPr>
          <w:sz w:val="28"/>
          <w:szCs w:val="28"/>
          <w:lang w:eastAsia="en-US"/>
        </w:rPr>
        <w:t xml:space="preserve"> № </w:t>
      </w:r>
      <w:r w:rsidR="00433007">
        <w:rPr>
          <w:sz w:val="28"/>
          <w:szCs w:val="28"/>
          <w:lang w:eastAsia="en-US"/>
        </w:rPr>
        <w:t>198</w:t>
      </w:r>
      <w:r w:rsidRPr="00EE1B3E">
        <w:rPr>
          <w:sz w:val="28"/>
          <w:szCs w:val="28"/>
          <w:lang w:eastAsia="en-US"/>
        </w:rPr>
        <w:t xml:space="preserve"> «О внесение изменений в постановление Администрации </w:t>
      </w:r>
      <w:r w:rsidR="00433007">
        <w:rPr>
          <w:sz w:val="28"/>
          <w:szCs w:val="28"/>
          <w:lang w:eastAsia="en-US"/>
        </w:rPr>
        <w:t>Мещеряковского</w:t>
      </w:r>
      <w:r>
        <w:rPr>
          <w:sz w:val="28"/>
          <w:szCs w:val="28"/>
          <w:lang w:eastAsia="en-US"/>
        </w:rPr>
        <w:t xml:space="preserve"> сельского поселения</w:t>
      </w:r>
      <w:r w:rsidRPr="00EE1B3E">
        <w:rPr>
          <w:sz w:val="28"/>
          <w:szCs w:val="28"/>
          <w:lang w:eastAsia="en-US"/>
        </w:rPr>
        <w:t xml:space="preserve"> от </w:t>
      </w:r>
      <w:r w:rsidR="00433007">
        <w:rPr>
          <w:sz w:val="28"/>
          <w:szCs w:val="28"/>
          <w:lang w:eastAsia="en-US"/>
        </w:rPr>
        <w:t>06.12</w:t>
      </w:r>
      <w:r>
        <w:rPr>
          <w:sz w:val="28"/>
          <w:szCs w:val="28"/>
          <w:lang w:eastAsia="en-US"/>
        </w:rPr>
        <w:t>.201</w:t>
      </w:r>
      <w:r w:rsidR="00433007">
        <w:rPr>
          <w:sz w:val="28"/>
          <w:szCs w:val="28"/>
          <w:lang w:eastAsia="en-US"/>
        </w:rPr>
        <w:t>6</w:t>
      </w:r>
      <w:r>
        <w:rPr>
          <w:sz w:val="28"/>
          <w:szCs w:val="28"/>
          <w:lang w:eastAsia="en-US"/>
        </w:rPr>
        <w:t xml:space="preserve"> № </w:t>
      </w:r>
      <w:r w:rsidR="00433007">
        <w:rPr>
          <w:sz w:val="28"/>
          <w:szCs w:val="28"/>
          <w:lang w:eastAsia="en-US"/>
        </w:rPr>
        <w:t>223</w:t>
      </w:r>
      <w:r w:rsidRPr="00EE1B3E">
        <w:rPr>
          <w:sz w:val="28"/>
          <w:szCs w:val="28"/>
          <w:lang w:eastAsia="en-US"/>
        </w:rPr>
        <w:t>».</w:t>
      </w:r>
    </w:p>
    <w:sectPr w:rsidR="006A487C"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42" w:rsidRDefault="00AA4742">
      <w:r>
        <w:separator/>
      </w:r>
    </w:p>
  </w:endnote>
  <w:endnote w:type="continuationSeparator" w:id="0">
    <w:p w:rsidR="00AA4742" w:rsidRDefault="00AA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20" w:rsidRPr="00AD6843" w:rsidRDefault="00133420">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256959">
      <w:rPr>
        <w:noProof/>
        <w:sz w:val="16"/>
        <w:szCs w:val="16"/>
      </w:rPr>
      <w:t>15</w:t>
    </w:r>
    <w:r w:rsidRPr="00AD6843">
      <w:rPr>
        <w:sz w:val="16"/>
        <w:szCs w:val="16"/>
      </w:rPr>
      <w:fldChar w:fldCharType="end"/>
    </w:r>
  </w:p>
  <w:p w:rsidR="00133420" w:rsidRDefault="00133420">
    <w:pPr>
      <w:pStyle w:val="a6"/>
    </w:pPr>
  </w:p>
  <w:p w:rsidR="00133420" w:rsidRDefault="00133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42" w:rsidRDefault="00AA4742">
      <w:r>
        <w:separator/>
      </w:r>
    </w:p>
  </w:footnote>
  <w:footnote w:type="continuationSeparator" w:id="0">
    <w:p w:rsidR="00AA4742" w:rsidRDefault="00AA4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9443-24E1-41BC-8329-22AF92E2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5</cp:revision>
  <cp:lastPrinted>2018-10-01T12:03:00Z</cp:lastPrinted>
  <dcterms:created xsi:type="dcterms:W3CDTF">2018-10-05T12:21:00Z</dcterms:created>
  <dcterms:modified xsi:type="dcterms:W3CDTF">2018-10-05T12:58:00Z</dcterms:modified>
</cp:coreProperties>
</file>