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EF" w:rsidRPr="001A6E02" w:rsidRDefault="00AA37EF" w:rsidP="00A52B1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0153C2" w:rsidRDefault="00AA37EF" w:rsidP="00A52B1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ОБЛАСТЬ</w:t>
      </w:r>
    </w:p>
    <w:p w:rsidR="00AA37EF" w:rsidRPr="001A6E02" w:rsidRDefault="000153C2" w:rsidP="00A52B1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ВЕРХНЕДОНСКОЙ РАЙОН</w:t>
      </w:r>
      <w:r w:rsidR="00AA37EF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37EF" w:rsidRPr="001A6E02" w:rsidRDefault="00AA37EF" w:rsidP="00A52B1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AA37EF" w:rsidRPr="001A6E02" w:rsidRDefault="00AA37EF" w:rsidP="00A52B1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54306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</w:t>
      </w:r>
      <w:r w:rsidR="00A52B1C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52D22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ПОСЕЛЕНИЕ» </w:t>
      </w:r>
    </w:p>
    <w:p w:rsidR="00AA37EF" w:rsidRPr="001A6E02" w:rsidRDefault="00AA37EF" w:rsidP="00A52B1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854306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</w:t>
      </w:r>
      <w:r w:rsidR="00A52B1C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52B1C" w:rsidRPr="001A6E02" w:rsidRDefault="00A52B1C" w:rsidP="000D3AD6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D22" w:rsidRPr="001A6E02" w:rsidRDefault="00AA37EF" w:rsidP="00AA37EF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AA37EF" w:rsidRPr="001A6E02" w:rsidRDefault="00AA37EF" w:rsidP="00A74F7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4F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07.06.2019</w:t>
      </w:r>
      <w:r w:rsidR="00D52D22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                       </w:t>
      </w:r>
      <w:r w:rsidR="00A52B1C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52D22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F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736591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spellStart"/>
      <w:r w:rsidR="00854306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х.Мещеряковский</w:t>
      </w:r>
      <w:proofErr w:type="spellEnd"/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A52B1C" w:rsidRPr="00A52B1C" w:rsidRDefault="00A52B1C" w:rsidP="00936104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586" w:rsidRPr="004F7586" w:rsidRDefault="004F7586" w:rsidP="004F7586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мероприятий</w:t>
      </w:r>
    </w:p>
    <w:p w:rsidR="004F7586" w:rsidRDefault="004F7586" w:rsidP="004F7586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росту доходного потенциала</w:t>
      </w:r>
    </w:p>
    <w:p w:rsidR="004F7586" w:rsidRPr="001A6E02" w:rsidRDefault="004F7586" w:rsidP="004F7586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Мещеряковского сельского </w:t>
      </w:r>
    </w:p>
    <w:p w:rsidR="00936104" w:rsidRPr="001A6E02" w:rsidRDefault="004F7586" w:rsidP="00936104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37EF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оптимизации расходов </w:t>
      </w:r>
      <w:r w:rsidR="00AA37EF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6104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854306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Мещеряковского</w:t>
      </w:r>
      <w:r w:rsidR="00936104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</w:p>
    <w:p w:rsidR="00936104" w:rsidRPr="001A6E02" w:rsidRDefault="00936104" w:rsidP="00936104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Верхнедонского района</w:t>
      </w:r>
    </w:p>
    <w:p w:rsidR="00AA37EF" w:rsidRPr="001A6E02" w:rsidRDefault="006F22BB" w:rsidP="00936104">
      <w:pPr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526933172"/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936104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D6368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36104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="00936104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A52B1C" w:rsidRPr="001A6E02" w:rsidRDefault="00A52B1C" w:rsidP="00A52B1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B1C" w:rsidRPr="001A6E02" w:rsidRDefault="00A52B1C" w:rsidP="00A52B1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B1C" w:rsidRPr="004F7586" w:rsidRDefault="00AA37EF" w:rsidP="00A52B1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335F" w:rsidRPr="001A6E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исполнения подпункта 2.1.2. пункта 2 Соглашения между Министерством финансов Ростовской области и Администрацией Мещеряковского сельского поселения о предоставлении дотации</w:t>
      </w:r>
      <w:r w:rsidR="005E5E59" w:rsidRPr="001A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выравнивание бюджетной обеспеченности муниципальных районов и поселений из областного бюджета бюджету Мещеряковского сельского поселения Верхнедонского района от </w:t>
      </w:r>
      <w:r w:rsidR="004F7586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24.04.2019</w:t>
      </w:r>
      <w:r w:rsidR="005E5E59" w:rsidRPr="001A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№6/4</w:t>
      </w:r>
      <w:r w:rsidR="005E5E59" w:rsidRPr="001A6E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4F7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F7586" w:rsidRPr="004F7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Мещеряковского сельского поселения</w:t>
      </w:r>
    </w:p>
    <w:p w:rsidR="005E5E59" w:rsidRPr="001A6E02" w:rsidRDefault="005E5E59" w:rsidP="00A52B1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EF" w:rsidRPr="001A6E02" w:rsidRDefault="00A52B1C" w:rsidP="00A52B1C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4F758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AA37EF" w:rsidRPr="001A6E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2B1C" w:rsidRPr="001A6E02" w:rsidRDefault="00A52B1C" w:rsidP="00A52B1C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EF" w:rsidRPr="001A6E02" w:rsidRDefault="00AA37EF" w:rsidP="004F758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</w:t>
      </w:r>
      <w:r w:rsidR="004F7586" w:rsidRPr="004F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4F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7586" w:rsidRPr="004F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4F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7586" w:rsidRPr="004F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росту доходного потенциала</w:t>
      </w:r>
      <w:r w:rsidR="004F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7586" w:rsidRPr="004F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Мещеряковского сельского поселения, оптимизации расходов бюджета Мещеряковского сельского поселения Верхнедонского района</w:t>
      </w:r>
      <w:r w:rsidR="004F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7586" w:rsidRPr="004F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2024 года</w:t>
      </w:r>
      <w:r w:rsidR="004F7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№ 1 к настоящему постановлению. </w:t>
      </w:r>
    </w:p>
    <w:p w:rsidR="00AA37EF" w:rsidRPr="001A6E02" w:rsidRDefault="00AA37EF" w:rsidP="00A52B1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Главным распорядителям средств бюджета </w:t>
      </w:r>
      <w:r w:rsidR="00854306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Мещеряковского</w:t>
      </w: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Верхнедонского района не устанавливать расходные обязательства, не связанные с решением вопросов, отнесенных Конституцией Российской Федерации, федеральными и областными законами к вопросам местного значения сельского поселения. </w:t>
      </w:r>
    </w:p>
    <w:p w:rsidR="00AA37EF" w:rsidRPr="001A6E02" w:rsidRDefault="00AA37EF" w:rsidP="00A52B1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Установить запрет на увеличение численности муниципальных служащих </w:t>
      </w:r>
      <w:r w:rsidR="00854306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Мещеряковского</w:t>
      </w: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9F1874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пределах норматива штатной численности, утвержденного Правительством Ростовской области)</w:t>
      </w: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24326" w:rsidRPr="001A6E02" w:rsidRDefault="00AA37EF" w:rsidP="00A52B1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 Главным распорядителям средств бюджета </w:t>
      </w:r>
      <w:r w:rsidR="00854306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Мещеряковского</w:t>
      </w: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Верхнедонского района представлять в </w:t>
      </w:r>
      <w:r w:rsidR="00624326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отдел Администрации Верхнедонского района</w:t>
      </w: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C3B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</w:t>
      </w: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позднее </w:t>
      </w:r>
      <w:r w:rsidR="004A7C3B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дней по истечении отчетного периода</w:t>
      </w: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отчет </w:t>
      </w:r>
      <w:r w:rsidR="0098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98695A" w:rsidRPr="0098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98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695A" w:rsidRPr="0098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росту доходного потенциала Мещеряковского сельского поселения, оптимизации расходов бюджета Мещеряковского сельского поселения Верхнедонского района до 2024 года</w:t>
      </w: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 согласно приложению</w:t>
      </w:r>
      <w:r w:rsidR="00A52B1C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 к настоящему постановлению.</w:t>
      </w:r>
    </w:p>
    <w:p w:rsidR="00AA37EF" w:rsidRPr="001A6E02" w:rsidRDefault="00624326" w:rsidP="00A52B1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A37EF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E02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распорядителям средств бюджета Мещеряковского сельского поселения Верхнедонского района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сельского поселения.</w:t>
      </w:r>
    </w:p>
    <w:p w:rsidR="0098695A" w:rsidRDefault="00624326" w:rsidP="00A52B1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53078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.Признать утратившим силу постановления Администрации Мещеряковского сельского поселения</w:t>
      </w:r>
      <w:r w:rsidR="0098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695A" w:rsidRDefault="0098695A" w:rsidP="0098695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53078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от 21.09.2018 №109 «</w:t>
      </w:r>
      <w:r w:rsidRPr="0098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Плана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росту доходного потенциала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98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8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Мещеряковское</w:t>
      </w:r>
      <w:proofErr w:type="spellEnd"/>
      <w:r w:rsidRPr="0098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до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695A" w:rsidRDefault="0098695A" w:rsidP="0098695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695A">
        <w:t xml:space="preserve"> </w:t>
      </w:r>
      <w:r w:rsidRPr="0098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04.10</w:t>
      </w:r>
      <w:r w:rsidRPr="0098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</w:t>
      </w:r>
      <w:r w:rsidRPr="0098695A">
        <w:t xml:space="preserve"> </w:t>
      </w:r>
      <w:r>
        <w:t>«</w:t>
      </w:r>
      <w:r w:rsidRPr="0098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оптимизации расходов бюджета Мещеряковского сельского поселения Верхнедонского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6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1874" w:rsidRPr="001A6E02" w:rsidRDefault="00624326" w:rsidP="00A52B1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A37EF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Настоящее постановление вступает в силу со дня его официального опубликования</w:t>
      </w:r>
      <w:r w:rsidR="009F1874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37EF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37EF" w:rsidRPr="001A6E02" w:rsidRDefault="00624326" w:rsidP="00A52B1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A37EF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Контроль за исполнением настоящего постановления оставляю за собой. </w:t>
      </w:r>
    </w:p>
    <w:p w:rsidR="00AA37EF" w:rsidRDefault="00AA37EF" w:rsidP="00A52B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3B2557" w:rsidRDefault="003B2557" w:rsidP="00A52B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57" w:rsidRDefault="003B2557" w:rsidP="00A52B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57" w:rsidRDefault="003B2557" w:rsidP="00A52B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57" w:rsidRDefault="003B2557" w:rsidP="00A52B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557" w:rsidRPr="001A6E02" w:rsidRDefault="003B2557" w:rsidP="00A52B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7EF" w:rsidRPr="001A6E02" w:rsidRDefault="00854306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A37EF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AA37EF" w:rsidRPr="001A6E02" w:rsidRDefault="00854306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Мещеряковского</w:t>
      </w:r>
      <w:r w:rsidR="00AA37EF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     </w:t>
      </w:r>
      <w:r w:rsidR="00C53D4F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="00AA37EF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260914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B1C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736591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52B1C"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 Сытина</w:t>
      </w:r>
    </w:p>
    <w:p w:rsidR="00A52B1C" w:rsidRPr="001A6E02" w:rsidRDefault="00A52B1C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B1C" w:rsidRPr="001A6E02" w:rsidRDefault="00A52B1C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B1C" w:rsidRDefault="00A52B1C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 вносит</w:t>
      </w:r>
    </w:p>
    <w:p w:rsidR="00A52B1C" w:rsidRDefault="00A52B1C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Сектор экономики и финансов</w:t>
      </w: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7033" w:rsidRPr="00A52B1C" w:rsidRDefault="00C17033" w:rsidP="00A52B1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033" w:rsidRDefault="00C17033" w:rsidP="003B255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17033" w:rsidSect="00C17033">
          <w:pgSz w:w="11906" w:h="16838"/>
          <w:pgMar w:top="1134" w:right="991" w:bottom="1134" w:left="1843" w:header="708" w:footer="708" w:gutter="0"/>
          <w:cols w:space="708"/>
          <w:docGrid w:linePitch="360"/>
        </w:sectPr>
      </w:pPr>
    </w:p>
    <w:p w:rsidR="003B2557" w:rsidRPr="00833702" w:rsidRDefault="003B2557" w:rsidP="003B255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</w:t>
      </w:r>
    </w:p>
    <w:p w:rsidR="003B2557" w:rsidRPr="00833702" w:rsidRDefault="003B2557" w:rsidP="003B255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3B2557" w:rsidRPr="00833702" w:rsidRDefault="003B2557" w:rsidP="003B255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Мещеряковского сельского поселения</w:t>
      </w:r>
    </w:p>
    <w:p w:rsidR="003B2557" w:rsidRPr="00833702" w:rsidRDefault="003B2557" w:rsidP="003B255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1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07.06.2019</w:t>
      </w:r>
      <w:r w:rsidRPr="008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1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</w:p>
    <w:p w:rsidR="003B2557" w:rsidRPr="003B2557" w:rsidRDefault="003B2557" w:rsidP="003B2557">
      <w:pPr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B2557">
        <w:rPr>
          <w:rFonts w:ascii="Times New Roman" w:eastAsia="Calibri" w:hAnsi="Times New Roman" w:cs="Times New Roman"/>
          <w:kern w:val="2"/>
          <w:sz w:val="28"/>
          <w:szCs w:val="28"/>
        </w:rPr>
        <w:t>ПЛАН</w:t>
      </w:r>
    </w:p>
    <w:p w:rsidR="003B2557" w:rsidRPr="003B2557" w:rsidRDefault="002D24BE" w:rsidP="003B2557">
      <w:pPr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м</w:t>
      </w:r>
      <w:r w:rsidR="003B2557" w:rsidRPr="003B2557">
        <w:rPr>
          <w:rFonts w:ascii="Times New Roman" w:eastAsia="Calibri" w:hAnsi="Times New Roman" w:cs="Times New Roman"/>
          <w:kern w:val="2"/>
          <w:sz w:val="28"/>
          <w:szCs w:val="28"/>
        </w:rPr>
        <w:t xml:space="preserve">ероприятий по росту доходного потенциала </w:t>
      </w:r>
      <w:r w:rsidR="00121AD6">
        <w:rPr>
          <w:rFonts w:ascii="Times New Roman" w:eastAsia="Calibri" w:hAnsi="Times New Roman" w:cs="Times New Roman"/>
          <w:kern w:val="2"/>
          <w:sz w:val="28"/>
          <w:szCs w:val="28"/>
        </w:rPr>
        <w:t>Мещеряковского сельского поселения</w:t>
      </w:r>
      <w:r w:rsidR="003B2557" w:rsidRPr="003B2557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оптимизации расходов </w:t>
      </w:r>
      <w:r w:rsidR="00121AD6">
        <w:rPr>
          <w:rFonts w:ascii="Times New Roman" w:eastAsia="Calibri" w:hAnsi="Times New Roman" w:cs="Times New Roman"/>
          <w:kern w:val="2"/>
          <w:sz w:val="28"/>
          <w:szCs w:val="28"/>
        </w:rPr>
        <w:t>бюджета Мещеряковского сельского поселения Верхнедонского района</w:t>
      </w:r>
      <w:r w:rsidR="003B2557" w:rsidRPr="003B255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до 2024 года</w:t>
      </w:r>
    </w:p>
    <w:p w:rsidR="003B2557" w:rsidRPr="003C3EA7" w:rsidRDefault="003B2557" w:rsidP="003B2557">
      <w:pPr>
        <w:jc w:val="center"/>
        <w:rPr>
          <w:rFonts w:eastAsia="Calibri"/>
          <w:kern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3"/>
        <w:gridCol w:w="2797"/>
        <w:gridCol w:w="2003"/>
        <w:gridCol w:w="1337"/>
        <w:gridCol w:w="1205"/>
        <w:gridCol w:w="1337"/>
        <w:gridCol w:w="1205"/>
        <w:gridCol w:w="1338"/>
        <w:gridCol w:w="1337"/>
        <w:gridCol w:w="1338"/>
      </w:tblGrid>
      <w:tr w:rsidR="003B2557" w:rsidRPr="003C3EA7" w:rsidTr="003B2557">
        <w:tc>
          <w:tcPr>
            <w:tcW w:w="710" w:type="dxa"/>
            <w:vMerge w:val="restart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975" w:type="dxa"/>
            <w:vMerge w:val="restart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3B2557" w:rsidRPr="003C3EA7" w:rsidRDefault="003B2557" w:rsidP="003B2557">
            <w:pPr>
              <w:ind w:hanging="85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  <w:r w:rsidRPr="003C3EA7">
              <w:rPr>
                <w:rFonts w:ascii="Times New Roman" w:hAnsi="Times New Roman"/>
                <w:kern w:val="2"/>
              </w:rPr>
              <w:t xml:space="preserve"> *</w:t>
            </w:r>
          </w:p>
        </w:tc>
      </w:tr>
      <w:tr w:rsidR="003B2557" w:rsidRPr="003C3EA7" w:rsidTr="003B2557">
        <w:tc>
          <w:tcPr>
            <w:tcW w:w="710" w:type="dxa"/>
            <w:vMerge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5" w:type="dxa"/>
            <w:vMerge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8" w:type="dxa"/>
            <w:vMerge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vMerge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2019 год</w:t>
            </w:r>
          </w:p>
        </w:tc>
        <w:tc>
          <w:tcPr>
            <w:tcW w:w="1417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1276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1418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  <w:tc>
          <w:tcPr>
            <w:tcW w:w="1417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2023 год</w:t>
            </w:r>
          </w:p>
        </w:tc>
        <w:tc>
          <w:tcPr>
            <w:tcW w:w="1418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2024 год</w:t>
            </w:r>
          </w:p>
        </w:tc>
      </w:tr>
    </w:tbl>
    <w:p w:rsidR="003B2557" w:rsidRPr="003C3EA7" w:rsidRDefault="003B2557" w:rsidP="003B2557">
      <w:pPr>
        <w:jc w:val="center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2799"/>
        <w:gridCol w:w="2003"/>
        <w:gridCol w:w="1338"/>
        <w:gridCol w:w="1205"/>
        <w:gridCol w:w="1339"/>
        <w:gridCol w:w="1203"/>
        <w:gridCol w:w="1338"/>
        <w:gridCol w:w="1337"/>
        <w:gridCol w:w="1337"/>
      </w:tblGrid>
      <w:tr w:rsidR="003B2557" w:rsidRPr="003C3EA7" w:rsidTr="00ED28E8">
        <w:trPr>
          <w:tblHeader/>
        </w:trPr>
        <w:tc>
          <w:tcPr>
            <w:tcW w:w="671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799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2003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338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05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339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03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338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337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337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3B2557" w:rsidRPr="003C3EA7" w:rsidTr="00ED28E8">
        <w:tc>
          <w:tcPr>
            <w:tcW w:w="14570" w:type="dxa"/>
            <w:gridSpan w:val="10"/>
          </w:tcPr>
          <w:p w:rsidR="003B2557" w:rsidRPr="003C3EA7" w:rsidRDefault="003B2557" w:rsidP="00222D6E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росту доходов </w:t>
            </w:r>
            <w:r w:rsidR="00222D6E">
              <w:rPr>
                <w:rFonts w:ascii="Times New Roman" w:hAnsi="Times New Roman"/>
                <w:kern w:val="2"/>
              </w:rPr>
              <w:t>бюджета</w:t>
            </w:r>
            <w:r w:rsidR="00ED28E8">
              <w:rPr>
                <w:rFonts w:ascii="Times New Roman" w:hAnsi="Times New Roman"/>
                <w:kern w:val="2"/>
              </w:rPr>
              <w:t xml:space="preserve"> Мещеряковского сельского поселения Верхнедонского района</w:t>
            </w:r>
          </w:p>
        </w:tc>
      </w:tr>
      <w:tr w:rsidR="003B2557" w:rsidRPr="003C3EA7" w:rsidTr="00ED28E8">
        <w:tc>
          <w:tcPr>
            <w:tcW w:w="671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799" w:type="dxa"/>
            <w:tcBorders>
              <w:right w:val="nil"/>
            </w:tcBorders>
          </w:tcPr>
          <w:p w:rsidR="003B2557" w:rsidRPr="003C3EA7" w:rsidRDefault="003B2557" w:rsidP="003B2557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2003" w:type="dxa"/>
            <w:tcBorders>
              <w:left w:val="nil"/>
              <w:right w:val="nil"/>
            </w:tcBorders>
          </w:tcPr>
          <w:p w:rsidR="003B2557" w:rsidRPr="003C3EA7" w:rsidRDefault="003B2557" w:rsidP="003B2557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338" w:type="dxa"/>
            <w:tcBorders>
              <w:left w:val="nil"/>
            </w:tcBorders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5" w:type="dxa"/>
            <w:vAlign w:val="center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9" w:type="dxa"/>
            <w:vAlign w:val="center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3" w:type="dxa"/>
            <w:vAlign w:val="center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8" w:type="dxa"/>
            <w:vAlign w:val="center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7" w:type="dxa"/>
            <w:vAlign w:val="center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7" w:type="dxa"/>
            <w:vAlign w:val="center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B2557" w:rsidRPr="003C3EA7" w:rsidTr="00ED28E8">
        <w:tc>
          <w:tcPr>
            <w:tcW w:w="671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3899" w:type="dxa"/>
            <w:gridSpan w:val="9"/>
          </w:tcPr>
          <w:p w:rsidR="003B2557" w:rsidRPr="003C3EA7" w:rsidRDefault="00ED28E8" w:rsidP="003B2557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Мероприятия в части развития налоговой базы</w:t>
            </w:r>
          </w:p>
        </w:tc>
      </w:tr>
      <w:tr w:rsidR="003B2557" w:rsidRPr="003C3EA7" w:rsidTr="00ED28E8">
        <w:tc>
          <w:tcPr>
            <w:tcW w:w="671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1.1.</w:t>
            </w:r>
          </w:p>
        </w:tc>
        <w:tc>
          <w:tcPr>
            <w:tcW w:w="2799" w:type="dxa"/>
          </w:tcPr>
          <w:p w:rsidR="003B2557" w:rsidRPr="003C3EA7" w:rsidRDefault="00222D6E" w:rsidP="003B255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Повышение собираемости налоговых доходов по местным налогам</w:t>
            </w:r>
          </w:p>
        </w:tc>
        <w:tc>
          <w:tcPr>
            <w:tcW w:w="2003" w:type="dxa"/>
          </w:tcPr>
          <w:p w:rsidR="003B2557" w:rsidRPr="003C3EA7" w:rsidRDefault="00222D6E" w:rsidP="003B2557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338" w:type="dxa"/>
          </w:tcPr>
          <w:p w:rsidR="003B2557" w:rsidRPr="003C3EA7" w:rsidRDefault="00ED28E8" w:rsidP="003B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05" w:type="dxa"/>
          </w:tcPr>
          <w:p w:rsidR="003B2557" w:rsidRPr="003C3EA7" w:rsidRDefault="005B5519" w:rsidP="003B2557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10,0</w:t>
            </w:r>
          </w:p>
        </w:tc>
        <w:tc>
          <w:tcPr>
            <w:tcW w:w="1339" w:type="dxa"/>
          </w:tcPr>
          <w:p w:rsidR="003B2557" w:rsidRPr="003C3EA7" w:rsidRDefault="00ED28E8" w:rsidP="003B2557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10,0</w:t>
            </w:r>
          </w:p>
        </w:tc>
        <w:tc>
          <w:tcPr>
            <w:tcW w:w="1203" w:type="dxa"/>
          </w:tcPr>
          <w:p w:rsidR="003B2557" w:rsidRPr="003C3EA7" w:rsidRDefault="00ED28E8" w:rsidP="003B2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38" w:type="dxa"/>
          </w:tcPr>
          <w:p w:rsidR="003B2557" w:rsidRPr="003C3EA7" w:rsidRDefault="00ED28E8" w:rsidP="003B2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37" w:type="dxa"/>
          </w:tcPr>
          <w:p w:rsidR="003B2557" w:rsidRPr="003C3EA7" w:rsidRDefault="00ED28E8" w:rsidP="003B2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37" w:type="dxa"/>
          </w:tcPr>
          <w:p w:rsidR="003B2557" w:rsidRPr="003C3EA7" w:rsidRDefault="00ED28E8" w:rsidP="003B2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ED28E8" w:rsidRPr="003C3EA7" w:rsidTr="00ED28E8">
        <w:tc>
          <w:tcPr>
            <w:tcW w:w="671" w:type="dxa"/>
          </w:tcPr>
          <w:p w:rsidR="00ED28E8" w:rsidRPr="003C3EA7" w:rsidRDefault="00ED28E8" w:rsidP="00ED28E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  <w:r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799" w:type="dxa"/>
          </w:tcPr>
          <w:p w:rsidR="00ED28E8" w:rsidRPr="003C3EA7" w:rsidRDefault="00ED28E8" w:rsidP="00ED28E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Проведение разъяснительной работы по своевременной и полной уплате налогов, поступающих в бюджет сельского поселения</w:t>
            </w:r>
          </w:p>
        </w:tc>
        <w:tc>
          <w:tcPr>
            <w:tcW w:w="2003" w:type="dxa"/>
          </w:tcPr>
          <w:p w:rsidR="00ED28E8" w:rsidRPr="00ED28E8" w:rsidRDefault="00ED28E8" w:rsidP="00ED28E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ED28E8"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338" w:type="dxa"/>
          </w:tcPr>
          <w:p w:rsidR="00ED28E8" w:rsidRPr="003C3EA7" w:rsidRDefault="00ED28E8" w:rsidP="00ED2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05" w:type="dxa"/>
          </w:tcPr>
          <w:p w:rsidR="00ED28E8" w:rsidRPr="003C3EA7" w:rsidRDefault="005B5519" w:rsidP="00ED28E8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10,0</w:t>
            </w:r>
          </w:p>
        </w:tc>
        <w:tc>
          <w:tcPr>
            <w:tcW w:w="1339" w:type="dxa"/>
          </w:tcPr>
          <w:p w:rsidR="00ED28E8" w:rsidRPr="003C3EA7" w:rsidRDefault="00ED28E8" w:rsidP="00ED28E8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10,0</w:t>
            </w:r>
          </w:p>
        </w:tc>
        <w:tc>
          <w:tcPr>
            <w:tcW w:w="1203" w:type="dxa"/>
          </w:tcPr>
          <w:p w:rsidR="00ED28E8" w:rsidRPr="003C3EA7" w:rsidRDefault="00ED28E8" w:rsidP="00ED2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38" w:type="dxa"/>
          </w:tcPr>
          <w:p w:rsidR="00ED28E8" w:rsidRPr="003C3EA7" w:rsidRDefault="00ED28E8" w:rsidP="00ED2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37" w:type="dxa"/>
          </w:tcPr>
          <w:p w:rsidR="00ED28E8" w:rsidRPr="003C3EA7" w:rsidRDefault="00ED28E8" w:rsidP="00ED2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37" w:type="dxa"/>
          </w:tcPr>
          <w:p w:rsidR="00ED28E8" w:rsidRPr="003C3EA7" w:rsidRDefault="00ED28E8" w:rsidP="00ED2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5B5519" w:rsidRPr="003C3EA7" w:rsidTr="005B5519">
        <w:trPr>
          <w:trHeight w:val="1975"/>
        </w:trPr>
        <w:tc>
          <w:tcPr>
            <w:tcW w:w="671" w:type="dxa"/>
          </w:tcPr>
          <w:p w:rsidR="005B5519" w:rsidRPr="003C3EA7" w:rsidRDefault="005B5519" w:rsidP="005B551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1.2</w:t>
            </w:r>
          </w:p>
        </w:tc>
        <w:tc>
          <w:tcPr>
            <w:tcW w:w="2799" w:type="dxa"/>
          </w:tcPr>
          <w:p w:rsidR="005B5519" w:rsidRDefault="005B5519" w:rsidP="005B55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eastAsia="Times New Roman" w:hAnsi="Times New Roman"/>
                <w:lang w:eastAsia="ru-RU"/>
              </w:rPr>
              <w:t xml:space="preserve">Снижение задолженности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3C3EA7">
              <w:rPr>
                <w:rFonts w:ascii="Times New Roman" w:eastAsia="Times New Roman" w:hAnsi="Times New Roman"/>
                <w:lang w:eastAsia="ru-RU"/>
              </w:rPr>
              <w:t xml:space="preserve">по налоговым и неналоговым доходам за счет повышения эффективности работы Координационных советов </w:t>
            </w:r>
          </w:p>
        </w:tc>
        <w:tc>
          <w:tcPr>
            <w:tcW w:w="2003" w:type="dxa"/>
          </w:tcPr>
          <w:p w:rsidR="005B5519" w:rsidRPr="00ED28E8" w:rsidRDefault="005B5519" w:rsidP="005B55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B5519">
              <w:rPr>
                <w:rFonts w:ascii="Times New Roman" w:hAnsi="Times New Roman"/>
                <w:kern w:val="2"/>
              </w:rPr>
              <w:t>Сектор экономики и финансов</w:t>
            </w:r>
          </w:p>
        </w:tc>
        <w:tc>
          <w:tcPr>
            <w:tcW w:w="1338" w:type="dxa"/>
          </w:tcPr>
          <w:p w:rsidR="005B5519" w:rsidRDefault="005B5519" w:rsidP="005B5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B5519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05" w:type="dxa"/>
          </w:tcPr>
          <w:p w:rsidR="005B5519" w:rsidRDefault="005B5519" w:rsidP="005B551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10,0</w:t>
            </w:r>
          </w:p>
        </w:tc>
        <w:tc>
          <w:tcPr>
            <w:tcW w:w="1339" w:type="dxa"/>
          </w:tcPr>
          <w:p w:rsidR="005B5519" w:rsidRPr="003C3EA7" w:rsidRDefault="005B5519" w:rsidP="005B551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10,0</w:t>
            </w:r>
          </w:p>
        </w:tc>
        <w:tc>
          <w:tcPr>
            <w:tcW w:w="1203" w:type="dxa"/>
          </w:tcPr>
          <w:p w:rsidR="005B5519" w:rsidRPr="003C3EA7" w:rsidRDefault="005B5519" w:rsidP="005B55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38" w:type="dxa"/>
          </w:tcPr>
          <w:p w:rsidR="005B5519" w:rsidRPr="003C3EA7" w:rsidRDefault="005B5519" w:rsidP="005B55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37" w:type="dxa"/>
          </w:tcPr>
          <w:p w:rsidR="005B5519" w:rsidRPr="003C3EA7" w:rsidRDefault="005B5519" w:rsidP="005B55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37" w:type="dxa"/>
          </w:tcPr>
          <w:p w:rsidR="005B5519" w:rsidRPr="003C3EA7" w:rsidRDefault="005B5519" w:rsidP="005B55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5B5519" w:rsidRPr="003C3EA7" w:rsidTr="00ED28E8">
        <w:tc>
          <w:tcPr>
            <w:tcW w:w="671" w:type="dxa"/>
          </w:tcPr>
          <w:p w:rsidR="005B5519" w:rsidRDefault="005B5519" w:rsidP="005B551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1.2.1</w:t>
            </w:r>
          </w:p>
        </w:tc>
        <w:tc>
          <w:tcPr>
            <w:tcW w:w="2799" w:type="dxa"/>
          </w:tcPr>
          <w:p w:rsidR="005B5519" w:rsidRPr="003C3EA7" w:rsidRDefault="005B5519" w:rsidP="005B551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Работа с налогоплательщиками,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име-ющими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задолженность по налогам</w:t>
            </w:r>
          </w:p>
        </w:tc>
        <w:tc>
          <w:tcPr>
            <w:tcW w:w="2003" w:type="dxa"/>
          </w:tcPr>
          <w:p w:rsidR="005B5519" w:rsidRPr="005B5519" w:rsidRDefault="005B5519" w:rsidP="005B55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Ведущий специалист по вопросам имущественных и земельных отношений</w:t>
            </w:r>
          </w:p>
        </w:tc>
        <w:tc>
          <w:tcPr>
            <w:tcW w:w="1338" w:type="dxa"/>
          </w:tcPr>
          <w:p w:rsidR="005B5519" w:rsidRPr="005B5519" w:rsidRDefault="005B5519" w:rsidP="005B5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B5519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05" w:type="dxa"/>
          </w:tcPr>
          <w:p w:rsidR="005B5519" w:rsidRDefault="005B5519" w:rsidP="005B551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10,0</w:t>
            </w:r>
          </w:p>
        </w:tc>
        <w:tc>
          <w:tcPr>
            <w:tcW w:w="1339" w:type="dxa"/>
          </w:tcPr>
          <w:p w:rsidR="005B5519" w:rsidRPr="003C3EA7" w:rsidRDefault="005B5519" w:rsidP="005B551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10,0</w:t>
            </w:r>
          </w:p>
        </w:tc>
        <w:tc>
          <w:tcPr>
            <w:tcW w:w="1203" w:type="dxa"/>
          </w:tcPr>
          <w:p w:rsidR="005B5519" w:rsidRPr="003C3EA7" w:rsidRDefault="005B5519" w:rsidP="005B55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38" w:type="dxa"/>
          </w:tcPr>
          <w:p w:rsidR="005B5519" w:rsidRPr="003C3EA7" w:rsidRDefault="005B5519" w:rsidP="005B55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37" w:type="dxa"/>
          </w:tcPr>
          <w:p w:rsidR="005B5519" w:rsidRPr="003C3EA7" w:rsidRDefault="005B5519" w:rsidP="005B55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37" w:type="dxa"/>
          </w:tcPr>
          <w:p w:rsidR="005B5519" w:rsidRPr="003C3EA7" w:rsidRDefault="005B5519" w:rsidP="005B55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3B2557" w:rsidRPr="003C3EA7" w:rsidTr="00ED28E8">
        <w:tc>
          <w:tcPr>
            <w:tcW w:w="671" w:type="dxa"/>
          </w:tcPr>
          <w:p w:rsidR="003B2557" w:rsidRPr="003C3EA7" w:rsidRDefault="003B2557" w:rsidP="003B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3899" w:type="dxa"/>
            <w:gridSpan w:val="9"/>
          </w:tcPr>
          <w:p w:rsidR="003B2557" w:rsidRPr="003C3EA7" w:rsidRDefault="003B2557" w:rsidP="005B551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Мероприятия </w:t>
            </w:r>
            <w:r w:rsidR="005B5519">
              <w:rPr>
                <w:rFonts w:ascii="Times New Roman" w:hAnsi="Times New Roman"/>
                <w:kern w:val="2"/>
              </w:rPr>
              <w:t>в части использования имущества</w:t>
            </w:r>
          </w:p>
        </w:tc>
      </w:tr>
      <w:tr w:rsidR="00A33088" w:rsidRPr="003C3EA7" w:rsidTr="00ED28E8">
        <w:tc>
          <w:tcPr>
            <w:tcW w:w="671" w:type="dxa"/>
          </w:tcPr>
          <w:p w:rsidR="00A33088" w:rsidRPr="003C3EA7" w:rsidRDefault="00A33088" w:rsidP="00A33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2.1.</w:t>
            </w:r>
          </w:p>
        </w:tc>
        <w:tc>
          <w:tcPr>
            <w:tcW w:w="2799" w:type="dxa"/>
          </w:tcPr>
          <w:p w:rsidR="00A33088" w:rsidRPr="003C3EA7" w:rsidRDefault="00A33088" w:rsidP="00A33088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>Повышение эффективности использования имущества, в том числе земельных участков</w:t>
            </w:r>
          </w:p>
        </w:tc>
        <w:tc>
          <w:tcPr>
            <w:tcW w:w="2003" w:type="dxa"/>
          </w:tcPr>
          <w:p w:rsidR="00A33088" w:rsidRPr="003C3EA7" w:rsidRDefault="00A33088" w:rsidP="00A3308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Ведущий специалист по вопросам имущественных и земельных отношений</w:t>
            </w:r>
          </w:p>
        </w:tc>
        <w:tc>
          <w:tcPr>
            <w:tcW w:w="1338" w:type="dxa"/>
          </w:tcPr>
          <w:p w:rsidR="00A33088" w:rsidRPr="003C3EA7" w:rsidRDefault="00A33088" w:rsidP="00A3308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05" w:type="dxa"/>
          </w:tcPr>
          <w:p w:rsidR="00A33088" w:rsidRPr="003C3EA7" w:rsidRDefault="00A33088" w:rsidP="00A33088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50,0</w:t>
            </w:r>
          </w:p>
        </w:tc>
        <w:tc>
          <w:tcPr>
            <w:tcW w:w="1339" w:type="dxa"/>
            <w:shd w:val="clear" w:color="auto" w:fill="auto"/>
          </w:tcPr>
          <w:p w:rsidR="00A33088" w:rsidRPr="003C3EA7" w:rsidRDefault="00A33088" w:rsidP="00A3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1203" w:type="dxa"/>
          </w:tcPr>
          <w:p w:rsidR="00A33088" w:rsidRDefault="00A33088" w:rsidP="00A33088">
            <w:pPr>
              <w:jc w:val="center"/>
            </w:pPr>
            <w:r w:rsidRPr="00DB6CD7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1338" w:type="dxa"/>
          </w:tcPr>
          <w:p w:rsidR="00A33088" w:rsidRDefault="00A33088" w:rsidP="00A33088">
            <w:pPr>
              <w:jc w:val="center"/>
            </w:pPr>
            <w:r w:rsidRPr="00DB6CD7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1337" w:type="dxa"/>
          </w:tcPr>
          <w:p w:rsidR="00A33088" w:rsidRDefault="00A33088" w:rsidP="00A33088">
            <w:pPr>
              <w:jc w:val="center"/>
            </w:pPr>
            <w:r w:rsidRPr="00DB6CD7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1337" w:type="dxa"/>
          </w:tcPr>
          <w:p w:rsidR="00A33088" w:rsidRDefault="00A33088" w:rsidP="00A33088">
            <w:pPr>
              <w:jc w:val="center"/>
            </w:pPr>
            <w:r w:rsidRPr="00DB6CD7"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A33088" w:rsidRPr="003C3EA7" w:rsidTr="00ED28E8">
        <w:tc>
          <w:tcPr>
            <w:tcW w:w="671" w:type="dxa"/>
          </w:tcPr>
          <w:p w:rsidR="00A33088" w:rsidRPr="003C3EA7" w:rsidRDefault="00A33088" w:rsidP="00A330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2.1.1</w:t>
            </w:r>
          </w:p>
        </w:tc>
        <w:tc>
          <w:tcPr>
            <w:tcW w:w="2799" w:type="dxa"/>
          </w:tcPr>
          <w:p w:rsidR="00A33088" w:rsidRPr="003C3EA7" w:rsidRDefault="00A33088" w:rsidP="00A33088">
            <w:pPr>
              <w:spacing w:line="23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kern w:val="2"/>
              </w:rPr>
              <w:t>Предоставление в аренду земельных участков, находящихся в муниципальной собственности</w:t>
            </w:r>
          </w:p>
        </w:tc>
        <w:tc>
          <w:tcPr>
            <w:tcW w:w="2003" w:type="dxa"/>
          </w:tcPr>
          <w:p w:rsidR="00A33088" w:rsidRPr="003C3EA7" w:rsidRDefault="00A33088" w:rsidP="00A33088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A33088">
              <w:rPr>
                <w:rFonts w:ascii="Times New Roman" w:hAnsi="Times New Roman"/>
                <w:kern w:val="2"/>
              </w:rPr>
              <w:t>Ведущий специалист по вопросам имущественных и земельных отношений</w:t>
            </w:r>
          </w:p>
          <w:p w:rsidR="00A33088" w:rsidRPr="003C3EA7" w:rsidRDefault="00A33088" w:rsidP="00A33088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1338" w:type="dxa"/>
          </w:tcPr>
          <w:p w:rsidR="00A33088" w:rsidRPr="003C3EA7" w:rsidRDefault="00A33088" w:rsidP="00A33088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05" w:type="dxa"/>
          </w:tcPr>
          <w:p w:rsidR="00A33088" w:rsidRPr="003C3EA7" w:rsidRDefault="00A33088" w:rsidP="00A33088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50,</w:t>
            </w:r>
            <w:r w:rsidRPr="003C3EA7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1339" w:type="dxa"/>
            <w:shd w:val="clear" w:color="auto" w:fill="auto"/>
          </w:tcPr>
          <w:p w:rsidR="00A33088" w:rsidRPr="003C3EA7" w:rsidRDefault="00A33088" w:rsidP="00A330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1203" w:type="dxa"/>
          </w:tcPr>
          <w:p w:rsidR="00A33088" w:rsidRDefault="00A33088" w:rsidP="00A33088">
            <w:pPr>
              <w:jc w:val="center"/>
            </w:pPr>
            <w:r w:rsidRPr="00DB6CD7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1338" w:type="dxa"/>
          </w:tcPr>
          <w:p w:rsidR="00A33088" w:rsidRDefault="00A33088" w:rsidP="00A33088">
            <w:pPr>
              <w:jc w:val="center"/>
            </w:pPr>
            <w:r w:rsidRPr="00DB6CD7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1337" w:type="dxa"/>
          </w:tcPr>
          <w:p w:rsidR="00A33088" w:rsidRDefault="00A33088" w:rsidP="00A33088">
            <w:pPr>
              <w:jc w:val="center"/>
            </w:pPr>
            <w:r w:rsidRPr="00DB6CD7">
              <w:rPr>
                <w:rFonts w:ascii="Times New Roman" w:hAnsi="Times New Roman"/>
                <w:kern w:val="2"/>
              </w:rPr>
              <w:t>0,0</w:t>
            </w:r>
          </w:p>
        </w:tc>
        <w:tc>
          <w:tcPr>
            <w:tcW w:w="1337" w:type="dxa"/>
          </w:tcPr>
          <w:p w:rsidR="00A33088" w:rsidRDefault="00A33088" w:rsidP="00A33088">
            <w:pPr>
              <w:jc w:val="center"/>
            </w:pPr>
            <w:r w:rsidRPr="00DB6CD7">
              <w:rPr>
                <w:rFonts w:ascii="Times New Roman" w:hAnsi="Times New Roman"/>
                <w:kern w:val="2"/>
              </w:rPr>
              <w:t>0,0</w:t>
            </w:r>
          </w:p>
        </w:tc>
      </w:tr>
      <w:tr w:rsidR="003B2557" w:rsidRPr="003C3EA7" w:rsidTr="00ED28E8">
        <w:tc>
          <w:tcPr>
            <w:tcW w:w="14570" w:type="dxa"/>
            <w:gridSpan w:val="10"/>
          </w:tcPr>
          <w:p w:rsidR="003B2557" w:rsidRPr="003C3EA7" w:rsidRDefault="003B2557" w:rsidP="00A33088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t>II</w:t>
            </w:r>
            <w:r w:rsidRPr="003C3EA7">
              <w:rPr>
                <w:rFonts w:ascii="Times New Roman" w:hAnsi="Times New Roman"/>
                <w:kern w:val="2"/>
              </w:rPr>
              <w:t>. Направления по оптимизации расходов бюджета</w:t>
            </w:r>
            <w:r w:rsidR="00A33088">
              <w:rPr>
                <w:rFonts w:ascii="Times New Roman" w:hAnsi="Times New Roman"/>
                <w:kern w:val="2"/>
              </w:rPr>
              <w:t xml:space="preserve"> Мещеряковского сельского поселения Верхнедонского района</w:t>
            </w:r>
          </w:p>
        </w:tc>
      </w:tr>
      <w:tr w:rsidR="003B2557" w:rsidRPr="003C3EA7" w:rsidTr="00ED28E8">
        <w:tc>
          <w:tcPr>
            <w:tcW w:w="671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2799" w:type="dxa"/>
            <w:tcBorders>
              <w:right w:val="nil"/>
            </w:tcBorders>
          </w:tcPr>
          <w:p w:rsidR="003B2557" w:rsidRPr="003C3EA7" w:rsidRDefault="003B2557" w:rsidP="003B255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003" w:type="dxa"/>
            <w:tcBorders>
              <w:left w:val="nil"/>
              <w:right w:val="nil"/>
            </w:tcBorders>
          </w:tcPr>
          <w:p w:rsidR="003B2557" w:rsidRPr="003C3EA7" w:rsidRDefault="003B2557" w:rsidP="003B2557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38" w:type="dxa"/>
            <w:tcBorders>
              <w:left w:val="nil"/>
            </w:tcBorders>
          </w:tcPr>
          <w:p w:rsidR="003B2557" w:rsidRPr="003C3EA7" w:rsidRDefault="003B2557" w:rsidP="003B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5" w:type="dxa"/>
          </w:tcPr>
          <w:p w:rsidR="003B2557" w:rsidRPr="003C3EA7" w:rsidRDefault="003B2557" w:rsidP="003B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39" w:type="dxa"/>
          </w:tcPr>
          <w:p w:rsidR="003B2557" w:rsidRPr="003C3EA7" w:rsidRDefault="003B2557" w:rsidP="003B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3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38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37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37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3B2557" w:rsidRPr="003C3EA7" w:rsidTr="00ED28E8">
        <w:tc>
          <w:tcPr>
            <w:tcW w:w="671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3899" w:type="dxa"/>
            <w:gridSpan w:val="9"/>
          </w:tcPr>
          <w:p w:rsidR="003B2557" w:rsidRPr="003C3EA7" w:rsidRDefault="00050EE6" w:rsidP="003B25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Муниципальная служба</w:t>
            </w:r>
          </w:p>
        </w:tc>
      </w:tr>
      <w:tr w:rsidR="00881CEA" w:rsidRPr="003C3EA7" w:rsidTr="009B58DA">
        <w:tc>
          <w:tcPr>
            <w:tcW w:w="671" w:type="dxa"/>
          </w:tcPr>
          <w:p w:rsidR="00881CEA" w:rsidRPr="003C3EA7" w:rsidRDefault="006A5A84" w:rsidP="00881CEA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1.1</w:t>
            </w:r>
          </w:p>
        </w:tc>
        <w:tc>
          <w:tcPr>
            <w:tcW w:w="2799" w:type="dxa"/>
            <w:tcBorders>
              <w:right w:val="nil"/>
            </w:tcBorders>
          </w:tcPr>
          <w:p w:rsidR="00881CEA" w:rsidRPr="003C3EA7" w:rsidRDefault="006A5A84" w:rsidP="00881CE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Осуществление контроля за соблюдением нормативов формирования расходов на оплату труда муниципальных служащих и (или) содержание органов местного самоуправления</w:t>
            </w:r>
          </w:p>
        </w:tc>
        <w:tc>
          <w:tcPr>
            <w:tcW w:w="2003" w:type="dxa"/>
            <w:tcBorders>
              <w:left w:val="nil"/>
              <w:right w:val="nil"/>
            </w:tcBorders>
          </w:tcPr>
          <w:p w:rsidR="00881CEA" w:rsidRPr="003C3EA7" w:rsidRDefault="006A5A84" w:rsidP="006A5A84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</w:rPr>
            </w:pPr>
            <w:r w:rsidRPr="00050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1338" w:type="dxa"/>
            <w:tcBorders>
              <w:left w:val="nil"/>
            </w:tcBorders>
          </w:tcPr>
          <w:p w:rsidR="00881CEA" w:rsidRPr="003C3EA7" w:rsidRDefault="009357BD" w:rsidP="0088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05" w:type="dxa"/>
          </w:tcPr>
          <w:p w:rsidR="00881CEA" w:rsidRPr="003C3EA7" w:rsidRDefault="00881CEA" w:rsidP="0088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39" w:type="dxa"/>
          </w:tcPr>
          <w:p w:rsidR="00881CEA" w:rsidRPr="003C3EA7" w:rsidRDefault="00881CEA" w:rsidP="0088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3" w:type="dxa"/>
          </w:tcPr>
          <w:p w:rsidR="00881CEA" w:rsidRPr="003C3EA7" w:rsidRDefault="00881CEA" w:rsidP="00881CEA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38" w:type="dxa"/>
          </w:tcPr>
          <w:p w:rsidR="00881CEA" w:rsidRPr="003C3EA7" w:rsidRDefault="00881CEA" w:rsidP="00881CEA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37" w:type="dxa"/>
          </w:tcPr>
          <w:p w:rsidR="00881CEA" w:rsidRPr="003C3EA7" w:rsidRDefault="00881CEA" w:rsidP="00881CEA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37" w:type="dxa"/>
          </w:tcPr>
          <w:p w:rsidR="00881CEA" w:rsidRPr="003C3EA7" w:rsidRDefault="00881CEA" w:rsidP="00881CEA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3B2557" w:rsidRPr="003C3EA7" w:rsidTr="00ED28E8">
        <w:tc>
          <w:tcPr>
            <w:tcW w:w="671" w:type="dxa"/>
          </w:tcPr>
          <w:p w:rsidR="003B2557" w:rsidRPr="003C3EA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3899" w:type="dxa"/>
            <w:gridSpan w:val="9"/>
          </w:tcPr>
          <w:p w:rsidR="003B2557" w:rsidRPr="003C3EA7" w:rsidRDefault="00050EE6" w:rsidP="003B2557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Совершенствование системы закупок для муниципальных нужд</w:t>
            </w:r>
          </w:p>
        </w:tc>
      </w:tr>
      <w:tr w:rsidR="003048F5" w:rsidRPr="003C3EA7" w:rsidTr="0098539D">
        <w:trPr>
          <w:trHeight w:val="1732"/>
        </w:trPr>
        <w:tc>
          <w:tcPr>
            <w:tcW w:w="671" w:type="dxa"/>
          </w:tcPr>
          <w:p w:rsidR="003048F5" w:rsidRPr="003C3EA7" w:rsidRDefault="003048F5" w:rsidP="003048F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2.1.</w:t>
            </w:r>
          </w:p>
        </w:tc>
        <w:tc>
          <w:tcPr>
            <w:tcW w:w="2799" w:type="dxa"/>
          </w:tcPr>
          <w:p w:rsidR="003048F5" w:rsidRPr="003C3EA7" w:rsidRDefault="003048F5" w:rsidP="003048F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eastAsia="Times New Roman" w:hAnsi="Times New Roman"/>
                <w:kern w:val="2"/>
                <w:lang w:eastAsia="ru-RU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003" w:type="dxa"/>
          </w:tcPr>
          <w:p w:rsidR="003048F5" w:rsidRPr="003C3EA7" w:rsidRDefault="003048F5" w:rsidP="003048F5">
            <w:pPr>
              <w:jc w:val="center"/>
              <w:rPr>
                <w:rFonts w:ascii="Times New Roman" w:hAnsi="Times New Roman"/>
                <w:kern w:val="2"/>
              </w:rPr>
            </w:pPr>
            <w:r w:rsidRPr="00050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1338" w:type="dxa"/>
          </w:tcPr>
          <w:p w:rsidR="003048F5" w:rsidRPr="003C3EA7" w:rsidRDefault="003048F5" w:rsidP="003048F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05" w:type="dxa"/>
          </w:tcPr>
          <w:p w:rsidR="003048F5" w:rsidRPr="003C3EA7" w:rsidRDefault="003048F5" w:rsidP="003048F5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339" w:type="dxa"/>
          </w:tcPr>
          <w:p w:rsidR="003048F5" w:rsidRDefault="003048F5" w:rsidP="003048F5">
            <w:pPr>
              <w:jc w:val="center"/>
            </w:pPr>
            <w:r w:rsidRPr="009D0B56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203" w:type="dxa"/>
          </w:tcPr>
          <w:p w:rsidR="003048F5" w:rsidRDefault="003048F5" w:rsidP="003048F5">
            <w:pPr>
              <w:jc w:val="center"/>
            </w:pPr>
            <w:r w:rsidRPr="009D0B56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338" w:type="dxa"/>
          </w:tcPr>
          <w:p w:rsidR="003048F5" w:rsidRDefault="003048F5" w:rsidP="003048F5">
            <w:pPr>
              <w:jc w:val="center"/>
            </w:pPr>
            <w:r w:rsidRPr="009D0B56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337" w:type="dxa"/>
          </w:tcPr>
          <w:p w:rsidR="003048F5" w:rsidRDefault="003048F5" w:rsidP="003048F5">
            <w:pPr>
              <w:jc w:val="center"/>
            </w:pPr>
            <w:r w:rsidRPr="009D0B56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337" w:type="dxa"/>
          </w:tcPr>
          <w:p w:rsidR="003048F5" w:rsidRDefault="003048F5" w:rsidP="003048F5">
            <w:pPr>
              <w:jc w:val="center"/>
            </w:pPr>
            <w:r w:rsidRPr="009D0B56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3B2557" w:rsidRPr="003C3EA7" w:rsidTr="00ED28E8">
        <w:tc>
          <w:tcPr>
            <w:tcW w:w="671" w:type="dxa"/>
          </w:tcPr>
          <w:p w:rsidR="003B2557" w:rsidRPr="003C3EA7" w:rsidRDefault="003048F5" w:rsidP="003B2557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  <w:r w:rsidR="003B2557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3899" w:type="dxa"/>
            <w:gridSpan w:val="9"/>
          </w:tcPr>
          <w:p w:rsidR="003B2557" w:rsidRPr="003C3EA7" w:rsidRDefault="003B2557" w:rsidP="003048F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Мероприятия по </w:t>
            </w:r>
            <w:r w:rsidR="003048F5">
              <w:rPr>
                <w:rFonts w:ascii="Times New Roman" w:hAnsi="Times New Roman"/>
                <w:kern w:val="2"/>
              </w:rPr>
              <w:t>сокращению расходов на обслуживание муниципального долга Мещеряковского сельского поселения</w:t>
            </w:r>
          </w:p>
        </w:tc>
      </w:tr>
      <w:tr w:rsidR="007D05F2" w:rsidRPr="003C3EA7" w:rsidTr="00F60F32">
        <w:tc>
          <w:tcPr>
            <w:tcW w:w="671" w:type="dxa"/>
          </w:tcPr>
          <w:p w:rsidR="007D05F2" w:rsidRDefault="007D05F2" w:rsidP="007D05F2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3.1</w:t>
            </w:r>
          </w:p>
        </w:tc>
        <w:tc>
          <w:tcPr>
            <w:tcW w:w="2799" w:type="dxa"/>
            <w:tcBorders>
              <w:right w:val="nil"/>
            </w:tcBorders>
          </w:tcPr>
          <w:p w:rsidR="007D05F2" w:rsidRPr="007D05F2" w:rsidRDefault="007D05F2" w:rsidP="007D05F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D05F2">
              <w:rPr>
                <w:rFonts w:ascii="Times New Roman" w:hAnsi="Times New Roman"/>
                <w:kern w:val="2"/>
              </w:rPr>
              <w:t xml:space="preserve">Направление дополнительных доходов, экономии по расходам и остатков средств областного бюджета отчетного года на досрочное погашение долговых обязательств </w:t>
            </w:r>
          </w:p>
          <w:p w:rsidR="007D05F2" w:rsidRDefault="007D05F2" w:rsidP="007D05F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D05F2">
              <w:rPr>
                <w:rFonts w:ascii="Times New Roman" w:hAnsi="Times New Roman"/>
                <w:kern w:val="2"/>
              </w:rPr>
              <w:t>и (или) уменьшение планируемых заимствований</w:t>
            </w:r>
          </w:p>
        </w:tc>
        <w:tc>
          <w:tcPr>
            <w:tcW w:w="2003" w:type="dxa"/>
          </w:tcPr>
          <w:p w:rsidR="007D05F2" w:rsidRPr="003C3EA7" w:rsidRDefault="007D05F2" w:rsidP="007D05F2">
            <w:pPr>
              <w:jc w:val="center"/>
              <w:rPr>
                <w:rFonts w:ascii="Times New Roman" w:hAnsi="Times New Roman"/>
                <w:kern w:val="2"/>
              </w:rPr>
            </w:pPr>
            <w:r w:rsidRPr="00050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1338" w:type="dxa"/>
          </w:tcPr>
          <w:p w:rsidR="007D05F2" w:rsidRPr="003C3EA7" w:rsidRDefault="007D05F2" w:rsidP="007D05F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05" w:type="dxa"/>
          </w:tcPr>
          <w:p w:rsidR="007D05F2" w:rsidRPr="003C3EA7" w:rsidRDefault="007D05F2" w:rsidP="007D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39" w:type="dxa"/>
          </w:tcPr>
          <w:p w:rsidR="007D05F2" w:rsidRPr="003C3EA7" w:rsidRDefault="007D05F2" w:rsidP="007D05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3" w:type="dxa"/>
          </w:tcPr>
          <w:p w:rsidR="007D05F2" w:rsidRPr="003C3EA7" w:rsidRDefault="007D05F2" w:rsidP="007D05F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38" w:type="dxa"/>
          </w:tcPr>
          <w:p w:rsidR="007D05F2" w:rsidRPr="003C3EA7" w:rsidRDefault="007D05F2" w:rsidP="007D05F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37" w:type="dxa"/>
          </w:tcPr>
          <w:p w:rsidR="007D05F2" w:rsidRPr="003C3EA7" w:rsidRDefault="007D05F2" w:rsidP="007D05F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37" w:type="dxa"/>
          </w:tcPr>
          <w:p w:rsidR="007D05F2" w:rsidRPr="003C3EA7" w:rsidRDefault="007D05F2" w:rsidP="007D05F2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6A5A84" w:rsidRPr="003C3EA7" w:rsidTr="00F60F32">
        <w:tc>
          <w:tcPr>
            <w:tcW w:w="671" w:type="dxa"/>
          </w:tcPr>
          <w:p w:rsidR="006A5A84" w:rsidRPr="003C3EA7" w:rsidRDefault="006A5A84" w:rsidP="006A5A8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3.2</w:t>
            </w:r>
          </w:p>
        </w:tc>
        <w:tc>
          <w:tcPr>
            <w:tcW w:w="2799" w:type="dxa"/>
            <w:tcBorders>
              <w:right w:val="nil"/>
            </w:tcBorders>
          </w:tcPr>
          <w:p w:rsidR="006A5A84" w:rsidRPr="003C3EA7" w:rsidRDefault="006A5A84" w:rsidP="006A5A84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Привлечение кредитов из областного бюджета по льготным процентным ставкам для предотвращения кассовых разрывов в консолидированном бюджете Мещеряковского сельского поселения</w:t>
            </w:r>
          </w:p>
        </w:tc>
        <w:tc>
          <w:tcPr>
            <w:tcW w:w="2003" w:type="dxa"/>
          </w:tcPr>
          <w:p w:rsidR="006A5A84" w:rsidRPr="003C3EA7" w:rsidRDefault="006A5A84" w:rsidP="006A5A84">
            <w:pPr>
              <w:jc w:val="center"/>
              <w:rPr>
                <w:rFonts w:ascii="Times New Roman" w:hAnsi="Times New Roman"/>
                <w:kern w:val="2"/>
              </w:rPr>
            </w:pPr>
            <w:r w:rsidRPr="00050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1338" w:type="dxa"/>
          </w:tcPr>
          <w:p w:rsidR="006A5A84" w:rsidRPr="003C3EA7" w:rsidRDefault="006A5A84" w:rsidP="006A5A84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05" w:type="dxa"/>
          </w:tcPr>
          <w:p w:rsidR="006A5A84" w:rsidRPr="003C3EA7" w:rsidRDefault="006A5A84" w:rsidP="006A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39" w:type="dxa"/>
          </w:tcPr>
          <w:p w:rsidR="006A5A84" w:rsidRPr="003C3EA7" w:rsidRDefault="006A5A84" w:rsidP="006A5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3" w:type="dxa"/>
          </w:tcPr>
          <w:p w:rsidR="006A5A84" w:rsidRPr="003C3EA7" w:rsidRDefault="006A5A84" w:rsidP="006A5A84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38" w:type="dxa"/>
          </w:tcPr>
          <w:p w:rsidR="006A5A84" w:rsidRPr="003C3EA7" w:rsidRDefault="006A5A84" w:rsidP="006A5A84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37" w:type="dxa"/>
          </w:tcPr>
          <w:p w:rsidR="006A5A84" w:rsidRPr="003C3EA7" w:rsidRDefault="006A5A84" w:rsidP="006A5A84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37" w:type="dxa"/>
          </w:tcPr>
          <w:p w:rsidR="006A5A84" w:rsidRPr="003C3EA7" w:rsidRDefault="006A5A84" w:rsidP="006A5A84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</w:p>
    <w:bookmarkEnd w:id="1"/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5F2" w:rsidRDefault="007D05F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E02" w:rsidRDefault="001A6E02" w:rsidP="00A52B1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557" w:rsidRPr="00833702" w:rsidRDefault="003B2557" w:rsidP="00C1703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8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2557" w:rsidRPr="00833702" w:rsidRDefault="003B2557" w:rsidP="003B255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3B2557" w:rsidRPr="00833702" w:rsidRDefault="003B2557" w:rsidP="003B255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Мещеряковского сельского поселения</w:t>
      </w:r>
    </w:p>
    <w:p w:rsidR="003B2557" w:rsidRPr="00853078" w:rsidRDefault="003B2557" w:rsidP="00C170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07.06.2019</w:t>
      </w:r>
      <w:r w:rsidRPr="008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8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5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557" w:rsidRPr="003C3EA7" w:rsidRDefault="003B2557" w:rsidP="003B2557">
      <w:pPr>
        <w:tabs>
          <w:tab w:val="left" w:pos="7947"/>
        </w:tabs>
        <w:ind w:left="770"/>
        <w:rPr>
          <w:sz w:val="28"/>
          <w:szCs w:val="28"/>
        </w:rPr>
      </w:pPr>
    </w:p>
    <w:p w:rsidR="003B2557" w:rsidRPr="003C3EA7" w:rsidRDefault="003B2557" w:rsidP="003B2557">
      <w:pPr>
        <w:jc w:val="center"/>
        <w:rPr>
          <w:rFonts w:eastAsia="Calibri"/>
          <w:kern w:val="2"/>
          <w:sz w:val="28"/>
          <w:szCs w:val="28"/>
        </w:rPr>
      </w:pPr>
    </w:p>
    <w:p w:rsidR="003B2557" w:rsidRPr="003B2557" w:rsidRDefault="003B2557" w:rsidP="003B2557">
      <w:pPr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B2557">
        <w:rPr>
          <w:rFonts w:ascii="Times New Roman" w:eastAsia="Calibri" w:hAnsi="Times New Roman" w:cs="Times New Roman"/>
          <w:kern w:val="2"/>
          <w:sz w:val="28"/>
          <w:szCs w:val="28"/>
        </w:rPr>
        <w:t>ОТЧЕТ</w:t>
      </w:r>
    </w:p>
    <w:p w:rsidR="003B2557" w:rsidRPr="003B2557" w:rsidRDefault="003B2557" w:rsidP="003B2557">
      <w:pPr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B2557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 Плану мероприятий по росту доходного потенциала </w:t>
      </w:r>
      <w:r w:rsidR="007742BA">
        <w:rPr>
          <w:rFonts w:ascii="Times New Roman" w:eastAsia="Calibri" w:hAnsi="Times New Roman" w:cs="Times New Roman"/>
          <w:kern w:val="2"/>
          <w:sz w:val="28"/>
          <w:szCs w:val="28"/>
        </w:rPr>
        <w:t>Мещеряковского сельского поселения</w:t>
      </w:r>
      <w:r w:rsidRPr="003B2557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оптимизации </w:t>
      </w:r>
    </w:p>
    <w:p w:rsidR="003B2557" w:rsidRPr="003B2557" w:rsidRDefault="003B2557" w:rsidP="003B2557">
      <w:pPr>
        <w:jc w:val="center"/>
        <w:rPr>
          <w:rFonts w:ascii="Times New Roman" w:eastAsia="Calibri" w:hAnsi="Times New Roman" w:cs="Times New Roman"/>
          <w:kern w:val="2"/>
        </w:rPr>
      </w:pPr>
      <w:r w:rsidRPr="003B2557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расходов </w:t>
      </w:r>
      <w:r w:rsidR="007742BA">
        <w:rPr>
          <w:rFonts w:ascii="Times New Roman" w:eastAsia="Calibri" w:hAnsi="Times New Roman" w:cs="Times New Roman"/>
          <w:kern w:val="2"/>
          <w:sz w:val="28"/>
          <w:szCs w:val="28"/>
        </w:rPr>
        <w:t>Мещеряковского сельского поселения Верхнедонского района</w:t>
      </w:r>
      <w:r w:rsidR="007742BA" w:rsidRPr="003B255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3B2557">
        <w:rPr>
          <w:rFonts w:ascii="Times New Roman" w:eastAsia="Calibri" w:hAnsi="Times New Roman" w:cs="Times New Roman"/>
          <w:kern w:val="2"/>
          <w:sz w:val="28"/>
          <w:szCs w:val="28"/>
        </w:rPr>
        <w:t>до 2024 года</w:t>
      </w: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0"/>
        <w:gridCol w:w="1895"/>
        <w:gridCol w:w="1624"/>
        <w:gridCol w:w="950"/>
        <w:gridCol w:w="950"/>
        <w:gridCol w:w="1624"/>
        <w:gridCol w:w="2028"/>
        <w:gridCol w:w="1625"/>
        <w:gridCol w:w="1893"/>
        <w:gridCol w:w="1355"/>
      </w:tblGrid>
      <w:tr w:rsidR="003B2557" w:rsidRPr="003B2557" w:rsidTr="003B2557">
        <w:tc>
          <w:tcPr>
            <w:tcW w:w="624" w:type="dxa"/>
            <w:vMerge w:val="restart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spacing w:val="-4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 xml:space="preserve">№ </w:t>
            </w:r>
            <w:r w:rsidRPr="003B2557">
              <w:rPr>
                <w:rFonts w:ascii="Times New Roman" w:hAnsi="Times New Roman"/>
                <w:spacing w:val="-4"/>
                <w:kern w:val="2"/>
              </w:rPr>
              <w:t>п/п*</w:t>
            </w:r>
          </w:p>
        </w:tc>
        <w:tc>
          <w:tcPr>
            <w:tcW w:w="1986" w:type="dxa"/>
            <w:vMerge w:val="restart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>Финансовая оценка (бюджетный эффект),</w:t>
            </w:r>
          </w:p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 xml:space="preserve">(тыс. </w:t>
            </w:r>
            <w:proofErr w:type="gramStart"/>
            <w:r w:rsidRPr="003B2557">
              <w:rPr>
                <w:rFonts w:ascii="Times New Roman" w:hAnsi="Times New Roman"/>
                <w:kern w:val="2"/>
              </w:rPr>
              <w:t>рублей)*</w:t>
            </w:r>
            <w:proofErr w:type="gramEnd"/>
          </w:p>
        </w:tc>
        <w:tc>
          <w:tcPr>
            <w:tcW w:w="2126" w:type="dxa"/>
            <w:vMerge w:val="restart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 xml:space="preserve">Финансовая оценка (бюджетный эффект), предусмотренная </w:t>
            </w:r>
          </w:p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>в законе о бюджете на отчетную дату</w:t>
            </w:r>
          </w:p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 xml:space="preserve">Полученный финансовый (бюджетный) эффект, </w:t>
            </w:r>
          </w:p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>Примечание</w:t>
            </w:r>
          </w:p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>***</w:t>
            </w:r>
          </w:p>
        </w:tc>
      </w:tr>
      <w:tr w:rsidR="003B2557" w:rsidRPr="003B2557" w:rsidTr="003B2557">
        <w:tc>
          <w:tcPr>
            <w:tcW w:w="624" w:type="dxa"/>
            <w:vMerge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  <w:vMerge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992" w:type="dxa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>факт</w:t>
            </w:r>
          </w:p>
        </w:tc>
        <w:tc>
          <w:tcPr>
            <w:tcW w:w="1701" w:type="dxa"/>
            <w:vMerge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  <w:vMerge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  <w:vMerge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vMerge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3B2557" w:rsidRPr="003B2557" w:rsidTr="003B2557">
        <w:tc>
          <w:tcPr>
            <w:tcW w:w="624" w:type="dxa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986" w:type="dxa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992" w:type="dxa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126" w:type="dxa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2" w:type="dxa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984" w:type="dxa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418" w:type="dxa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  <w:r w:rsidRPr="003B255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3B2557" w:rsidRPr="003B2557" w:rsidTr="003B2557">
        <w:tc>
          <w:tcPr>
            <w:tcW w:w="624" w:type="dxa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</w:tcPr>
          <w:p w:rsidR="003B2557" w:rsidRPr="003B2557" w:rsidRDefault="003B2557" w:rsidP="003B2557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3B2557" w:rsidRPr="003B2557" w:rsidRDefault="003B2557" w:rsidP="003B2557">
      <w:pPr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B2557">
        <w:rPr>
          <w:rFonts w:ascii="Times New Roman" w:eastAsia="Calibri" w:hAnsi="Times New Roman" w:cs="Times New Roman"/>
          <w:kern w:val="2"/>
          <w:sz w:val="28"/>
          <w:szCs w:val="28"/>
        </w:rPr>
        <w:t>* Заполняется в соответствии с приложением № 1.</w:t>
      </w:r>
    </w:p>
    <w:p w:rsidR="003B2557" w:rsidRPr="003B2557" w:rsidRDefault="003B2557" w:rsidP="003B25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B2557">
        <w:rPr>
          <w:rFonts w:ascii="Times New Roman" w:eastAsia="Calibri" w:hAnsi="Times New Roman" w:cs="Times New Roman"/>
          <w:kern w:val="2"/>
          <w:sz w:val="28"/>
          <w:szCs w:val="28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853078" w:rsidRPr="00C17033" w:rsidRDefault="003B2557" w:rsidP="00C1703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57">
        <w:rPr>
          <w:rFonts w:ascii="Times New Roman" w:eastAsia="Calibri" w:hAnsi="Times New Roman" w:cs="Times New Roman"/>
          <w:kern w:val="2"/>
          <w:sz w:val="28"/>
          <w:szCs w:val="28"/>
        </w:rPr>
        <w:t>*** Заполняется в случае неисполнения плановых значений финансовой оценки (бюджетного эффекта).</w:t>
      </w:r>
      <w:r w:rsidR="00C1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F52C8D" w:rsidRPr="00833702" w:rsidRDefault="00F52C8D" w:rsidP="00F52C8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2C8D" w:rsidRPr="00833702" w:rsidRDefault="00F52C8D" w:rsidP="00F52C8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F52C8D" w:rsidRPr="00833702" w:rsidRDefault="00F52C8D" w:rsidP="00F52C8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Мещеряковского сельского поселения</w:t>
      </w:r>
    </w:p>
    <w:p w:rsidR="00F52C8D" w:rsidRPr="00853078" w:rsidRDefault="00F52C8D" w:rsidP="00F52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07.06.2019</w:t>
      </w:r>
      <w:r w:rsidRPr="008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833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5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C8D" w:rsidRPr="003C3EA7" w:rsidRDefault="00F52C8D" w:rsidP="00F52C8D">
      <w:pPr>
        <w:tabs>
          <w:tab w:val="left" w:pos="7947"/>
        </w:tabs>
        <w:ind w:left="770"/>
        <w:rPr>
          <w:sz w:val="28"/>
          <w:szCs w:val="28"/>
        </w:rPr>
      </w:pPr>
    </w:p>
    <w:p w:rsidR="00F52C8D" w:rsidRDefault="00F52C8D" w:rsidP="00F52C8D">
      <w:pPr>
        <w:ind w:left="11907"/>
        <w:jc w:val="center"/>
        <w:rPr>
          <w:kern w:val="2"/>
          <w:sz w:val="28"/>
          <w:szCs w:val="28"/>
        </w:rPr>
      </w:pPr>
    </w:p>
    <w:p w:rsidR="00F52C8D" w:rsidRPr="00F52C8D" w:rsidRDefault="00F52C8D" w:rsidP="00F52C8D">
      <w:pPr>
        <w:spacing w:line="22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52C8D">
        <w:rPr>
          <w:rFonts w:ascii="Times New Roman" w:eastAsia="Calibri" w:hAnsi="Times New Roman" w:cs="Times New Roman"/>
          <w:kern w:val="2"/>
          <w:sz w:val="28"/>
          <w:szCs w:val="28"/>
        </w:rPr>
        <w:t>ИНФОРМАЦИЯ</w:t>
      </w:r>
    </w:p>
    <w:p w:rsidR="00F52C8D" w:rsidRPr="003B2557" w:rsidRDefault="00F52C8D" w:rsidP="00F52C8D">
      <w:pPr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о реализации</w:t>
      </w:r>
      <w:r w:rsidRPr="00F52C8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3B2557">
        <w:rPr>
          <w:rFonts w:ascii="Times New Roman" w:eastAsia="Calibri" w:hAnsi="Times New Roman" w:cs="Times New Roman"/>
          <w:kern w:val="2"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Pr="003B255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 росту доходного потенциала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Мещеряковского сельского поселения</w:t>
      </w:r>
      <w:r w:rsidRPr="003B2557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оптимизации </w:t>
      </w:r>
    </w:p>
    <w:p w:rsidR="00F52C8D" w:rsidRPr="003B2557" w:rsidRDefault="00F52C8D" w:rsidP="00F52C8D">
      <w:pPr>
        <w:jc w:val="center"/>
        <w:rPr>
          <w:rFonts w:ascii="Times New Roman" w:eastAsia="Calibri" w:hAnsi="Times New Roman" w:cs="Times New Roman"/>
          <w:kern w:val="2"/>
        </w:rPr>
      </w:pPr>
      <w:r w:rsidRPr="003B2557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расходов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Мещеряковского сельского поселения Верхнедонского района</w:t>
      </w:r>
      <w:r w:rsidRPr="003B255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до 2024 года</w:t>
      </w:r>
    </w:p>
    <w:p w:rsidR="00F52C8D" w:rsidRDefault="00F52C8D" w:rsidP="00F52C8D">
      <w:pPr>
        <w:spacing w:line="220" w:lineRule="auto"/>
        <w:jc w:val="center"/>
        <w:rPr>
          <w:rFonts w:eastAsia="Calibri"/>
          <w:kern w:val="2"/>
          <w:sz w:val="20"/>
          <w:szCs w:val="20"/>
        </w:rPr>
      </w:pPr>
    </w:p>
    <w:tbl>
      <w:tblPr>
        <w:tblStyle w:val="ad"/>
        <w:tblW w:w="5000" w:type="pct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2"/>
        <w:gridCol w:w="2159"/>
        <w:gridCol w:w="1641"/>
        <w:gridCol w:w="1506"/>
        <w:gridCol w:w="1233"/>
        <w:gridCol w:w="1641"/>
        <w:gridCol w:w="1233"/>
        <w:gridCol w:w="1641"/>
        <w:gridCol w:w="1233"/>
        <w:gridCol w:w="1641"/>
      </w:tblGrid>
      <w:tr w:rsidR="00F52C8D" w:rsidTr="00F52C8D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№</w:t>
            </w:r>
          </w:p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п/п*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Срок исполнения*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(тыс. рублей)</w:t>
            </w:r>
          </w:p>
        </w:tc>
      </w:tr>
      <w:tr w:rsidR="00F52C8D" w:rsidTr="00F52C8D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8D" w:rsidRDefault="00F52C8D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8D" w:rsidRDefault="00F52C8D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8D" w:rsidRDefault="00F52C8D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8D" w:rsidRDefault="00F52C8D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2022 год</w:t>
            </w:r>
          </w:p>
        </w:tc>
      </w:tr>
      <w:tr w:rsidR="00F52C8D" w:rsidTr="00F52C8D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8D" w:rsidRDefault="00F52C8D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8D" w:rsidRDefault="00F52C8D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8D" w:rsidRDefault="00F52C8D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8D" w:rsidRDefault="00F52C8D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учтено в проекте бюджета </w:t>
            </w:r>
          </w:p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и 2022 годов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D" w:rsidRDefault="00F52C8D" w:rsidP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учтено в проекте бюджета на 2020 год и на плановый период 2021 и 2022 годов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учтено в проекте бюджета </w:t>
            </w:r>
          </w:p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и 2022 годов</w:t>
            </w:r>
          </w:p>
        </w:tc>
      </w:tr>
      <w:tr w:rsidR="00F52C8D" w:rsidTr="00F52C8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F52C8D" w:rsidTr="00F52C8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8D" w:rsidRDefault="00F52C8D">
            <w:pPr>
              <w:spacing w:line="22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F52C8D" w:rsidRDefault="00F52C8D" w:rsidP="00F52C8D">
      <w:pPr>
        <w:spacing w:line="220" w:lineRule="auto"/>
        <w:ind w:firstLine="709"/>
        <w:jc w:val="both"/>
        <w:rPr>
          <w:rFonts w:ascii="Times New Roman" w:eastAsia="Calibri" w:hAnsi="Times New Roman"/>
          <w:kern w:val="2"/>
          <w:sz w:val="20"/>
          <w:szCs w:val="20"/>
        </w:rPr>
      </w:pPr>
    </w:p>
    <w:p w:rsidR="00F52C8D" w:rsidRPr="00F52C8D" w:rsidRDefault="00F52C8D" w:rsidP="00F52C8D">
      <w:pPr>
        <w:spacing w:line="22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52C8D">
        <w:rPr>
          <w:rFonts w:ascii="Times New Roman" w:eastAsia="Calibri" w:hAnsi="Times New Roman" w:cs="Times New Roman"/>
          <w:kern w:val="2"/>
          <w:sz w:val="28"/>
          <w:szCs w:val="28"/>
        </w:rPr>
        <w:t>* Заполняется в соответствии с приложением № 1.</w:t>
      </w:r>
    </w:p>
    <w:p w:rsidR="00853078" w:rsidRDefault="00853078">
      <w:pPr>
        <w:rPr>
          <w:rFonts w:ascii="Times New Roman" w:hAnsi="Times New Roman" w:cs="Times New Roman"/>
          <w:sz w:val="20"/>
          <w:szCs w:val="20"/>
        </w:rPr>
      </w:pPr>
    </w:p>
    <w:p w:rsidR="00853078" w:rsidRDefault="00853078">
      <w:pPr>
        <w:rPr>
          <w:rFonts w:ascii="Times New Roman" w:hAnsi="Times New Roman" w:cs="Times New Roman"/>
          <w:sz w:val="20"/>
          <w:szCs w:val="20"/>
        </w:rPr>
      </w:pPr>
    </w:p>
    <w:p w:rsidR="00853078" w:rsidRPr="00833702" w:rsidRDefault="00853078">
      <w:pPr>
        <w:rPr>
          <w:rFonts w:ascii="Times New Roman" w:hAnsi="Times New Roman" w:cs="Times New Roman"/>
          <w:sz w:val="28"/>
          <w:szCs w:val="28"/>
        </w:rPr>
      </w:pPr>
    </w:p>
    <w:sectPr w:rsidR="00853078" w:rsidRPr="00833702" w:rsidSect="00C17033">
      <w:pgSz w:w="16838" w:h="11906" w:orient="landscape"/>
      <w:pgMar w:top="1843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905"/>
    <w:multiLevelType w:val="hybridMultilevel"/>
    <w:tmpl w:val="2FDEE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EF"/>
    <w:rsid w:val="000153C2"/>
    <w:rsid w:val="00050EE6"/>
    <w:rsid w:val="000D3AD6"/>
    <w:rsid w:val="00121AD6"/>
    <w:rsid w:val="00191407"/>
    <w:rsid w:val="001A6E02"/>
    <w:rsid w:val="001D1580"/>
    <w:rsid w:val="0021186A"/>
    <w:rsid w:val="00222D6E"/>
    <w:rsid w:val="00260914"/>
    <w:rsid w:val="002D24BE"/>
    <w:rsid w:val="003048F5"/>
    <w:rsid w:val="00332563"/>
    <w:rsid w:val="003B2557"/>
    <w:rsid w:val="0047304D"/>
    <w:rsid w:val="00496C2B"/>
    <w:rsid w:val="004A144E"/>
    <w:rsid w:val="004A7C3B"/>
    <w:rsid w:val="004F7586"/>
    <w:rsid w:val="005B5519"/>
    <w:rsid w:val="005E5E59"/>
    <w:rsid w:val="0061335F"/>
    <w:rsid w:val="00624326"/>
    <w:rsid w:val="0063392F"/>
    <w:rsid w:val="006A5A84"/>
    <w:rsid w:val="006F22BB"/>
    <w:rsid w:val="00736591"/>
    <w:rsid w:val="007742BA"/>
    <w:rsid w:val="00783B8A"/>
    <w:rsid w:val="007B07E9"/>
    <w:rsid w:val="007D05F2"/>
    <w:rsid w:val="007D3573"/>
    <w:rsid w:val="00833702"/>
    <w:rsid w:val="00853078"/>
    <w:rsid w:val="00854306"/>
    <w:rsid w:val="00881CEA"/>
    <w:rsid w:val="009357BD"/>
    <w:rsid w:val="00936104"/>
    <w:rsid w:val="0098695A"/>
    <w:rsid w:val="009F1874"/>
    <w:rsid w:val="00A24617"/>
    <w:rsid w:val="00A33088"/>
    <w:rsid w:val="00A52B1C"/>
    <w:rsid w:val="00A74F7C"/>
    <w:rsid w:val="00AA37EF"/>
    <w:rsid w:val="00AC6DC4"/>
    <w:rsid w:val="00AE1FEE"/>
    <w:rsid w:val="00B4632B"/>
    <w:rsid w:val="00C17033"/>
    <w:rsid w:val="00C53D4F"/>
    <w:rsid w:val="00CD6368"/>
    <w:rsid w:val="00D52D22"/>
    <w:rsid w:val="00D571CC"/>
    <w:rsid w:val="00D67A7E"/>
    <w:rsid w:val="00E478BD"/>
    <w:rsid w:val="00ED28E8"/>
    <w:rsid w:val="00F34D3F"/>
    <w:rsid w:val="00F52C8D"/>
    <w:rsid w:val="00F5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6D2591-075E-4EC0-8113-3D7F099D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57"/>
  </w:style>
  <w:style w:type="paragraph" w:styleId="1">
    <w:name w:val="heading 1"/>
    <w:basedOn w:val="a"/>
    <w:next w:val="a"/>
    <w:link w:val="10"/>
    <w:qFormat/>
    <w:rsid w:val="003B255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255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D158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B255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25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6"/>
    <w:rsid w:val="003B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rsid w:val="003B25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8"/>
    <w:rsid w:val="003B25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7"/>
    <w:rsid w:val="003B25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rsid w:val="003B2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rsid w:val="003B25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rsid w:val="003B2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rsid w:val="003B25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2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F52C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BAFB-B5AC-45F4-A1A5-CA5304C0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9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2019-10-28T11:09:00Z</cp:lastPrinted>
  <dcterms:created xsi:type="dcterms:W3CDTF">2017-04-18T09:01:00Z</dcterms:created>
  <dcterms:modified xsi:type="dcterms:W3CDTF">2019-10-28T11:09:00Z</dcterms:modified>
</cp:coreProperties>
</file>